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CD4" w:rsidRDefault="007C6CD4" w:rsidP="007C6CD4">
      <w:pPr>
        <w:pStyle w:val="Heading"/>
        <w:ind w:left="0"/>
      </w:pPr>
      <w:bookmarkStart w:id="0" w:name="_Toc315242619"/>
      <w:bookmarkStart w:id="1" w:name="_Toc315242544"/>
    </w:p>
    <w:p w:rsidR="007C6CD4" w:rsidRDefault="007C6CD4" w:rsidP="007C6CD4">
      <w:pPr>
        <w:pStyle w:val="Heading"/>
        <w:ind w:left="0"/>
      </w:pPr>
    </w:p>
    <w:p w:rsidR="007C6CD4" w:rsidRDefault="007C6CD4" w:rsidP="007C6CD4">
      <w:pPr>
        <w:pStyle w:val="Heading"/>
        <w:ind w:left="0"/>
      </w:pPr>
    </w:p>
    <w:p w:rsidR="007C6CD4" w:rsidRDefault="007C6CD4" w:rsidP="00B211D1">
      <w:pPr>
        <w:pStyle w:val="Heading"/>
        <w:ind w:left="0"/>
        <w:jc w:val="center"/>
      </w:pPr>
      <w:r>
        <w:t>QUICK REFERENCE GUIDE</w:t>
      </w:r>
      <w:bookmarkEnd w:id="0"/>
      <w:bookmarkEnd w:id="1"/>
    </w:p>
    <w:p w:rsidR="007C6CD4" w:rsidRDefault="007C6CD4" w:rsidP="007C6CD4">
      <w:pPr>
        <w:ind w:left="0"/>
        <w:rPr>
          <w:rFonts w:cs="Arial"/>
          <w:b/>
        </w:rPr>
      </w:pPr>
    </w:p>
    <w:p w:rsidR="007C6CD4" w:rsidRDefault="007C6CD4" w:rsidP="007C6CD4">
      <w:pPr>
        <w:numPr>
          <w:ilvl w:val="0"/>
          <w:numId w:val="1"/>
        </w:numPr>
        <w:ind w:left="1440"/>
        <w:rPr>
          <w:rFonts w:cs="Arial"/>
        </w:rPr>
      </w:pPr>
      <w:r>
        <w:rPr>
          <w:rFonts w:cs="Arial"/>
        </w:rPr>
        <w:t>Clinicians and seditionists carrying out procedures under sedation should be aware of and follow this policy.</w:t>
      </w:r>
    </w:p>
    <w:p w:rsidR="007C6CD4" w:rsidRDefault="007C6CD4" w:rsidP="007C6CD4">
      <w:pPr>
        <w:ind w:left="0"/>
        <w:rPr>
          <w:rFonts w:cs="Arial"/>
        </w:rPr>
      </w:pPr>
    </w:p>
    <w:p w:rsidR="007C6CD4" w:rsidRDefault="007C6CD4" w:rsidP="007C6CD4">
      <w:pPr>
        <w:numPr>
          <w:ilvl w:val="0"/>
          <w:numId w:val="1"/>
        </w:numPr>
        <w:ind w:left="1440"/>
        <w:rPr>
          <w:rFonts w:cs="Arial"/>
        </w:rPr>
      </w:pPr>
      <w:r>
        <w:rPr>
          <w:rFonts w:cs="Arial"/>
        </w:rPr>
        <w:t>Each clinician carrying out procedures under sedation should develop and follow their own set of local guidelines in line with national guidance.</w:t>
      </w:r>
    </w:p>
    <w:p w:rsidR="007C6CD4" w:rsidRDefault="007C6CD4" w:rsidP="007C6CD4">
      <w:pPr>
        <w:ind w:left="0"/>
        <w:rPr>
          <w:rFonts w:cs="Arial"/>
        </w:rPr>
      </w:pPr>
    </w:p>
    <w:p w:rsidR="007C6CD4" w:rsidRDefault="007C6CD4" w:rsidP="007C6CD4">
      <w:pPr>
        <w:pStyle w:val="NoSpacing"/>
      </w:pPr>
      <w:r>
        <w:t xml:space="preserve">There should be a named specialty consultant and consultant </w:t>
      </w:r>
      <w:proofErr w:type="spellStart"/>
      <w:r>
        <w:t>anaesthetist</w:t>
      </w:r>
      <w:proofErr w:type="spellEnd"/>
      <w:r>
        <w:t xml:space="preserve"> responsible for the development, implementation and monitoring of the local sedation techniques and guidelines.</w:t>
      </w:r>
    </w:p>
    <w:p w:rsidR="007C6CD4" w:rsidRDefault="007C6CD4" w:rsidP="007C6CD4">
      <w:pPr>
        <w:pStyle w:val="NoSpacing"/>
      </w:pPr>
    </w:p>
    <w:p w:rsidR="007C6CD4" w:rsidRPr="007C6CD4" w:rsidRDefault="007C6CD4" w:rsidP="007C6CD4">
      <w:pPr>
        <w:pStyle w:val="NoSpacing"/>
        <w:numPr>
          <w:ilvl w:val="0"/>
          <w:numId w:val="7"/>
        </w:numPr>
        <w:rPr>
          <w:b/>
        </w:rPr>
      </w:pPr>
      <w:r w:rsidRPr="007C6CD4">
        <w:rPr>
          <w:b/>
        </w:rPr>
        <w:t>The named consultant is Mr. Dilip Srinivasan</w:t>
      </w:r>
    </w:p>
    <w:p w:rsidR="007C6CD4" w:rsidRPr="007C6CD4" w:rsidRDefault="007C6CD4" w:rsidP="007C6CD4">
      <w:pPr>
        <w:pStyle w:val="NoSpacing"/>
        <w:numPr>
          <w:ilvl w:val="0"/>
          <w:numId w:val="7"/>
        </w:numPr>
        <w:rPr>
          <w:b/>
        </w:rPr>
      </w:pPr>
      <w:r w:rsidRPr="007C6CD4">
        <w:rPr>
          <w:b/>
        </w:rPr>
        <w:t xml:space="preserve">The lead Consultant </w:t>
      </w:r>
      <w:proofErr w:type="spellStart"/>
      <w:r w:rsidRPr="007C6CD4">
        <w:rPr>
          <w:b/>
        </w:rPr>
        <w:t>Anaethetist</w:t>
      </w:r>
      <w:proofErr w:type="spellEnd"/>
      <w:r w:rsidRPr="007C6CD4">
        <w:rPr>
          <w:b/>
        </w:rPr>
        <w:t xml:space="preserve"> is Mr. </w:t>
      </w:r>
      <w:proofErr w:type="spellStart"/>
      <w:r w:rsidRPr="007C6CD4">
        <w:rPr>
          <w:b/>
        </w:rPr>
        <w:t>Purushothaman</w:t>
      </w:r>
      <w:proofErr w:type="spellEnd"/>
      <w:r w:rsidRPr="007C6CD4">
        <w:rPr>
          <w:b/>
        </w:rPr>
        <w:t xml:space="preserve"> Sudarshan.  </w:t>
      </w:r>
    </w:p>
    <w:p w:rsidR="007C6CD4" w:rsidRPr="007C6CD4" w:rsidRDefault="007C6CD4" w:rsidP="007C6CD4">
      <w:pPr>
        <w:pStyle w:val="NoSpacing"/>
        <w:numPr>
          <w:ilvl w:val="0"/>
          <w:numId w:val="7"/>
        </w:numPr>
        <w:rPr>
          <w:b/>
        </w:rPr>
      </w:pPr>
      <w:r w:rsidRPr="007C6CD4">
        <w:rPr>
          <w:b/>
        </w:rPr>
        <w:t xml:space="preserve">The lead clinical sedation service manager is Mr. Gurcharanpreet Singh. </w:t>
      </w:r>
    </w:p>
    <w:p w:rsidR="007C6CD4" w:rsidRPr="007C6CD4" w:rsidRDefault="007C6CD4" w:rsidP="007C6CD4">
      <w:pPr>
        <w:pStyle w:val="NoSpacing"/>
        <w:numPr>
          <w:ilvl w:val="0"/>
          <w:numId w:val="7"/>
        </w:numPr>
        <w:rPr>
          <w:b/>
        </w:rPr>
      </w:pPr>
      <w:r w:rsidRPr="007C6CD4">
        <w:rPr>
          <w:b/>
        </w:rPr>
        <w:t>The lead sedation nurse is Mrs. Elaine Simons.</w:t>
      </w:r>
    </w:p>
    <w:p w:rsidR="007C6CD4" w:rsidRDefault="007C6CD4" w:rsidP="007C6CD4">
      <w:pPr>
        <w:ind w:left="0"/>
        <w:rPr>
          <w:rFonts w:cs="Arial"/>
        </w:rPr>
      </w:pPr>
    </w:p>
    <w:p w:rsidR="007C6CD4" w:rsidRDefault="007C6CD4" w:rsidP="007C6CD4">
      <w:pPr>
        <w:numPr>
          <w:ilvl w:val="0"/>
          <w:numId w:val="1"/>
        </w:numPr>
        <w:ind w:left="1440"/>
        <w:rPr>
          <w:rFonts w:cs="Arial"/>
        </w:rPr>
      </w:pPr>
      <w:r>
        <w:rPr>
          <w:rFonts w:cs="Arial"/>
        </w:rPr>
        <w:t>All staff involved in administering sedation should have undergone formal training in use of sedation techniques, identification and management of the complications of those techniques.</w:t>
      </w:r>
    </w:p>
    <w:p w:rsidR="007C6CD4" w:rsidRDefault="007C6CD4" w:rsidP="007C6CD4">
      <w:pPr>
        <w:ind w:left="0"/>
        <w:rPr>
          <w:rFonts w:cs="Arial"/>
        </w:rPr>
      </w:pPr>
    </w:p>
    <w:p w:rsidR="007C6CD4" w:rsidRDefault="007C6CD4" w:rsidP="007C6CD4">
      <w:pPr>
        <w:numPr>
          <w:ilvl w:val="0"/>
          <w:numId w:val="1"/>
        </w:numPr>
        <w:ind w:left="1440"/>
        <w:rPr>
          <w:rFonts w:cs="Arial"/>
        </w:rPr>
      </w:pPr>
      <w:r>
        <w:rPr>
          <w:rFonts w:cs="Arial"/>
        </w:rPr>
        <w:t>Sedation should be administered by a dedicated, suitably trained member of the team who is different from the clinician performing the procedure.</w:t>
      </w:r>
    </w:p>
    <w:p w:rsidR="007C6CD4" w:rsidRDefault="007C6CD4" w:rsidP="007C6CD4">
      <w:pPr>
        <w:ind w:left="0"/>
        <w:rPr>
          <w:rFonts w:cs="Arial"/>
        </w:rPr>
      </w:pPr>
    </w:p>
    <w:p w:rsidR="007C6CD4" w:rsidRDefault="007C6CD4" w:rsidP="007C6CD4">
      <w:pPr>
        <w:numPr>
          <w:ilvl w:val="0"/>
          <w:numId w:val="1"/>
        </w:numPr>
        <w:ind w:left="1440"/>
        <w:rPr>
          <w:rFonts w:cs="Arial"/>
        </w:rPr>
      </w:pPr>
      <w:r>
        <w:rPr>
          <w:rFonts w:cs="Arial"/>
        </w:rPr>
        <w:t xml:space="preserve"> Operator </w:t>
      </w:r>
      <w:proofErr w:type="spellStart"/>
      <w:r>
        <w:rPr>
          <w:rFonts w:cs="Arial"/>
        </w:rPr>
        <w:t>sedationists</w:t>
      </w:r>
      <w:proofErr w:type="spellEnd"/>
      <w:r>
        <w:rPr>
          <w:rFonts w:cs="Arial"/>
        </w:rPr>
        <w:t xml:space="preserve"> should only be responsible for patients undergoing defined procedures.</w:t>
      </w:r>
    </w:p>
    <w:p w:rsidR="007C6CD4" w:rsidRDefault="007C6CD4" w:rsidP="007C6CD4">
      <w:pPr>
        <w:ind w:left="360"/>
        <w:rPr>
          <w:rFonts w:cs="Arial"/>
        </w:rPr>
      </w:pPr>
      <w:r>
        <w:rPr>
          <w:rFonts w:cs="Arial"/>
        </w:rPr>
        <w:t xml:space="preserve"> </w:t>
      </w:r>
    </w:p>
    <w:p w:rsidR="007C6CD4" w:rsidRDefault="007C6CD4" w:rsidP="007C6CD4">
      <w:pPr>
        <w:numPr>
          <w:ilvl w:val="0"/>
          <w:numId w:val="1"/>
        </w:numPr>
        <w:ind w:left="1440"/>
        <w:rPr>
          <w:rFonts w:cs="Arial"/>
        </w:rPr>
      </w:pPr>
      <w:r>
        <w:rPr>
          <w:rFonts w:cs="Arial"/>
        </w:rPr>
        <w:t xml:space="preserve"> Appropriate levels of monitoring defined by local guidelines should be available for all cases.</w:t>
      </w:r>
    </w:p>
    <w:p w:rsidR="007C6CD4" w:rsidRDefault="007C6CD4" w:rsidP="007C6CD4">
      <w:pPr>
        <w:ind w:left="360"/>
        <w:rPr>
          <w:rFonts w:cs="Arial"/>
        </w:rPr>
      </w:pPr>
      <w:r>
        <w:rPr>
          <w:rFonts w:cs="Arial"/>
        </w:rPr>
        <w:t xml:space="preserve"> </w:t>
      </w:r>
    </w:p>
    <w:p w:rsidR="007C6CD4" w:rsidRDefault="007C6CD4" w:rsidP="007C6CD4">
      <w:pPr>
        <w:numPr>
          <w:ilvl w:val="0"/>
          <w:numId w:val="1"/>
        </w:numPr>
        <w:ind w:left="1440"/>
        <w:rPr>
          <w:rFonts w:cs="Arial"/>
        </w:rPr>
      </w:pPr>
      <w:r>
        <w:rPr>
          <w:rFonts w:cs="Arial"/>
        </w:rPr>
        <w:t xml:space="preserve"> Functioning resuscitation equipment and tilting trolleys should be available in all treatment and recovery areas wherever sedation techniques are used.</w:t>
      </w:r>
    </w:p>
    <w:p w:rsidR="007C6CD4" w:rsidRDefault="007C6CD4" w:rsidP="007C6CD4">
      <w:pPr>
        <w:ind w:left="360"/>
        <w:rPr>
          <w:rFonts w:cs="Arial"/>
        </w:rPr>
      </w:pPr>
      <w:r>
        <w:rPr>
          <w:rFonts w:cs="Arial"/>
        </w:rPr>
        <w:t xml:space="preserve"> </w:t>
      </w:r>
    </w:p>
    <w:p w:rsidR="007C6CD4" w:rsidRPr="007C6CD4" w:rsidRDefault="007C6CD4" w:rsidP="007C6CD4">
      <w:pPr>
        <w:numPr>
          <w:ilvl w:val="0"/>
          <w:numId w:val="1"/>
        </w:numPr>
        <w:ind w:left="1440"/>
        <w:rPr>
          <w:rFonts w:cs="Arial"/>
        </w:rPr>
      </w:pPr>
      <w:r>
        <w:rPr>
          <w:rFonts w:cs="Arial"/>
        </w:rPr>
        <w:t>The WHO checklist should be used in all cases where procedures are carried out.</w:t>
      </w:r>
    </w:p>
    <w:p w:rsidR="007C6CD4" w:rsidRDefault="007C6CD4" w:rsidP="007C6CD4">
      <w:pPr>
        <w:ind w:left="0"/>
        <w:rPr>
          <w:b/>
        </w:rPr>
      </w:pPr>
    </w:p>
    <w:p w:rsidR="007C6CD4" w:rsidRDefault="007C6CD4" w:rsidP="007C6CD4">
      <w:pPr>
        <w:ind w:left="0"/>
        <w:rPr>
          <w:rFonts w:cs="Arial"/>
        </w:rPr>
      </w:pPr>
    </w:p>
    <w:p w:rsidR="007C6CD4" w:rsidRDefault="007C6CD4" w:rsidP="007C6CD4">
      <w:pPr>
        <w:ind w:left="357"/>
        <w:rPr>
          <w:rFonts w:cs="Arial"/>
        </w:rPr>
      </w:pPr>
      <w:r>
        <w:rPr>
          <w:rFonts w:cs="Arial"/>
        </w:rPr>
        <w:t>The purpose of the document is to set out the responsibilities of all clinical staff that carry our procedures under sedation to ensure maximum patient safety undergoing such procedures.</w:t>
      </w:r>
    </w:p>
    <w:p w:rsidR="007C6CD4" w:rsidRDefault="007C6CD4" w:rsidP="007C6CD4">
      <w:pPr>
        <w:ind w:left="0"/>
        <w:rPr>
          <w:rFonts w:cs="Arial"/>
          <w:b/>
          <w:i/>
        </w:rPr>
      </w:pPr>
    </w:p>
    <w:p w:rsidR="007C6CD4" w:rsidRDefault="007C6CD4" w:rsidP="007C6CD4">
      <w:pPr>
        <w:pStyle w:val="Heading1"/>
        <w:numPr>
          <w:ilvl w:val="0"/>
          <w:numId w:val="0"/>
        </w:numPr>
        <w:ind w:left="180"/>
      </w:pPr>
      <w:bookmarkStart w:id="2" w:name="_Toc315243027"/>
      <w:bookmarkStart w:id="3" w:name="_Toc315242879"/>
      <w:bookmarkStart w:id="4" w:name="_Toc315242623"/>
      <w:bookmarkStart w:id="5" w:name="_Toc315242548"/>
      <w:r>
        <w:t xml:space="preserve">   DEFINITIONS</w:t>
      </w:r>
      <w:bookmarkEnd w:id="2"/>
      <w:bookmarkEnd w:id="3"/>
      <w:bookmarkEnd w:id="4"/>
      <w:bookmarkEnd w:id="5"/>
    </w:p>
    <w:p w:rsidR="007C6CD4" w:rsidRDefault="007C6CD4" w:rsidP="007C6CD4">
      <w:pPr>
        <w:pStyle w:val="Heading1"/>
        <w:numPr>
          <w:ilvl w:val="0"/>
          <w:numId w:val="0"/>
        </w:numPr>
        <w:tabs>
          <w:tab w:val="left" w:pos="720"/>
        </w:tabs>
        <w:spacing w:before="0" w:after="0"/>
        <w:ind w:left="357"/>
        <w:rPr>
          <w:sz w:val="22"/>
        </w:rPr>
      </w:pPr>
      <w:r>
        <w:rPr>
          <w:sz w:val="22"/>
        </w:rPr>
        <w:t>Conscious sedation</w:t>
      </w:r>
    </w:p>
    <w:p w:rsidR="007C6CD4" w:rsidRDefault="007C6CD4" w:rsidP="007C6CD4">
      <w:pPr>
        <w:pStyle w:val="BodyTextIndent"/>
        <w:spacing w:after="0"/>
        <w:ind w:left="357"/>
        <w:rPr>
          <w:rFonts w:cs="Arial"/>
        </w:rPr>
      </w:pPr>
      <w:r>
        <w:rPr>
          <w:rFonts w:cs="Arial"/>
        </w:rPr>
        <w:t>A technique in which the use of a drug or drugs produces a state of depression of the central nervous system enabling treatment to be carried out, but during which verbal contact with the patient is maintained throughout the period of sedation.</w:t>
      </w:r>
      <w:bookmarkStart w:id="6" w:name="_Toc115586959"/>
    </w:p>
    <w:p w:rsidR="007C6CD4" w:rsidRDefault="007C6CD4" w:rsidP="007C6CD4">
      <w:pPr>
        <w:pStyle w:val="BodyTextIndent"/>
        <w:spacing w:after="0"/>
        <w:ind w:left="357"/>
        <w:rPr>
          <w:rFonts w:cs="Arial"/>
          <w:b/>
        </w:rPr>
      </w:pPr>
    </w:p>
    <w:p w:rsidR="007C6CD4" w:rsidRDefault="007C6CD4" w:rsidP="007C6CD4">
      <w:pPr>
        <w:pStyle w:val="BodyTextIndent"/>
        <w:spacing w:after="0"/>
        <w:ind w:left="357"/>
        <w:rPr>
          <w:rFonts w:cs="Arial"/>
        </w:rPr>
      </w:pPr>
      <w:r>
        <w:rPr>
          <w:rFonts w:cs="Arial"/>
          <w:b/>
        </w:rPr>
        <w:t>Deep sedation</w:t>
      </w:r>
      <w:bookmarkEnd w:id="6"/>
    </w:p>
    <w:p w:rsidR="007C6CD4" w:rsidRDefault="007C6CD4" w:rsidP="007C6CD4">
      <w:pPr>
        <w:ind w:left="357"/>
        <w:rPr>
          <w:rFonts w:cs="Arial"/>
        </w:rPr>
      </w:pPr>
      <w:r>
        <w:rPr>
          <w:rFonts w:cs="Arial"/>
        </w:rPr>
        <w:t>A more profound depression of the central nervous system such that the patient is no longer able to maintain verbal contact and may not be able to protect their airway.</w:t>
      </w:r>
      <w:bookmarkStart w:id="7" w:name="_Toc115586960"/>
    </w:p>
    <w:bookmarkEnd w:id="7"/>
    <w:p w:rsidR="007C6CD4" w:rsidRDefault="007C6CD4" w:rsidP="007C6CD4">
      <w:pPr>
        <w:ind w:left="0"/>
        <w:rPr>
          <w:rFonts w:cs="Arial"/>
        </w:rPr>
      </w:pPr>
    </w:p>
    <w:p w:rsidR="007C6CD4" w:rsidRDefault="007C6CD4" w:rsidP="007C6CD4">
      <w:pPr>
        <w:pStyle w:val="Heading3"/>
        <w:spacing w:before="0" w:after="0"/>
        <w:ind w:left="357"/>
        <w:rPr>
          <w:rFonts w:ascii="Arial" w:hAnsi="Arial"/>
          <w:sz w:val="22"/>
          <w:szCs w:val="22"/>
        </w:rPr>
      </w:pPr>
      <w:bookmarkStart w:id="8" w:name="_Toc115586961"/>
      <w:r>
        <w:rPr>
          <w:rFonts w:ascii="Arial" w:hAnsi="Arial"/>
          <w:sz w:val="22"/>
          <w:szCs w:val="22"/>
        </w:rPr>
        <w:t>Operator</w:t>
      </w:r>
      <w:bookmarkEnd w:id="8"/>
    </w:p>
    <w:p w:rsidR="007C6CD4" w:rsidRDefault="007C6CD4" w:rsidP="007C6CD4">
      <w:pPr>
        <w:ind w:left="357"/>
        <w:rPr>
          <w:rFonts w:cs="Arial"/>
        </w:rPr>
      </w:pPr>
      <w:r>
        <w:rPr>
          <w:rFonts w:cs="Arial"/>
        </w:rPr>
        <w:t>A practitioner responsible for carrying out a diagnostic or therapeutic procedure</w:t>
      </w:r>
      <w:bookmarkStart w:id="9" w:name="_Toc115586964"/>
    </w:p>
    <w:p w:rsidR="007C6CD4" w:rsidRDefault="007C6CD4" w:rsidP="007C6CD4">
      <w:pPr>
        <w:ind w:left="357"/>
        <w:rPr>
          <w:rFonts w:cs="Arial"/>
        </w:rPr>
      </w:pPr>
    </w:p>
    <w:p w:rsidR="007C6CD4" w:rsidRDefault="007C6CD4" w:rsidP="007C6CD4">
      <w:pPr>
        <w:pStyle w:val="Heading3"/>
        <w:spacing w:before="0" w:after="0"/>
        <w:ind w:left="357"/>
        <w:rPr>
          <w:rFonts w:ascii="Arial" w:hAnsi="Arial"/>
          <w:sz w:val="22"/>
          <w:szCs w:val="22"/>
        </w:rPr>
      </w:pPr>
      <w:bookmarkStart w:id="10" w:name="_Toc115586963"/>
      <w:r>
        <w:rPr>
          <w:rFonts w:ascii="Arial" w:hAnsi="Arial"/>
          <w:sz w:val="22"/>
          <w:szCs w:val="22"/>
        </w:rPr>
        <w:t xml:space="preserve">Operator </w:t>
      </w:r>
      <w:bookmarkEnd w:id="10"/>
      <w:r>
        <w:rPr>
          <w:rFonts w:ascii="Arial" w:hAnsi="Arial"/>
          <w:sz w:val="22"/>
          <w:szCs w:val="22"/>
        </w:rPr>
        <w:t>Sedationist</w:t>
      </w:r>
    </w:p>
    <w:p w:rsidR="007C6CD4" w:rsidRDefault="007C6CD4" w:rsidP="007C6CD4">
      <w:pPr>
        <w:ind w:left="357"/>
        <w:rPr>
          <w:rFonts w:cs="Arial"/>
        </w:rPr>
      </w:pPr>
      <w:proofErr w:type="gramStart"/>
      <w:r>
        <w:rPr>
          <w:rFonts w:cs="Arial"/>
        </w:rPr>
        <w:t>Someone performing a diagnostic or therapeutic procedure while administering a sedation technique on a patient.</w:t>
      </w:r>
      <w:proofErr w:type="gramEnd"/>
    </w:p>
    <w:p w:rsidR="007C6CD4" w:rsidRDefault="007C6CD4" w:rsidP="007C6CD4">
      <w:pPr>
        <w:ind w:left="357"/>
        <w:rPr>
          <w:rFonts w:cs="Arial"/>
        </w:rPr>
      </w:pPr>
    </w:p>
    <w:p w:rsidR="007C6CD4" w:rsidRDefault="007C6CD4" w:rsidP="007C6CD4">
      <w:pPr>
        <w:ind w:left="357"/>
        <w:rPr>
          <w:rFonts w:cs="Arial"/>
        </w:rPr>
      </w:pPr>
    </w:p>
    <w:p w:rsidR="007C6CD4" w:rsidRDefault="007C6CD4" w:rsidP="007C6CD4">
      <w:pPr>
        <w:ind w:left="357"/>
        <w:rPr>
          <w:rFonts w:cs="Arial"/>
          <w:b/>
        </w:rPr>
      </w:pPr>
      <w:r>
        <w:rPr>
          <w:rFonts w:cs="Arial"/>
          <w:b/>
          <w:bCs/>
        </w:rPr>
        <w:t xml:space="preserve">Sedation techniques </w:t>
      </w:r>
    </w:p>
    <w:p w:rsidR="007C6CD4" w:rsidRDefault="007C6CD4" w:rsidP="007C6CD4">
      <w:pPr>
        <w:ind w:left="357"/>
        <w:rPr>
          <w:rFonts w:cs="Arial"/>
        </w:rPr>
      </w:pPr>
      <w:r>
        <w:rPr>
          <w:rFonts w:cs="Arial"/>
          <w:lang w:val="en-GB"/>
        </w:rPr>
        <w:t xml:space="preserve">Sedative drugs can be administered by inhalation, </w:t>
      </w:r>
      <w:proofErr w:type="spellStart"/>
      <w:r>
        <w:rPr>
          <w:rFonts w:cs="Arial"/>
          <w:lang w:val="en-GB"/>
        </w:rPr>
        <w:t>enteral</w:t>
      </w:r>
      <w:proofErr w:type="spellEnd"/>
      <w:r>
        <w:rPr>
          <w:rFonts w:cs="Arial"/>
          <w:lang w:val="en-GB"/>
        </w:rPr>
        <w:t xml:space="preserve"> (oral and sublingual) and </w:t>
      </w:r>
      <w:proofErr w:type="spellStart"/>
      <w:r>
        <w:rPr>
          <w:rFonts w:cs="Arial"/>
          <w:lang w:val="en-GB"/>
        </w:rPr>
        <w:t>parenteral</w:t>
      </w:r>
      <w:proofErr w:type="spellEnd"/>
      <w:r>
        <w:rPr>
          <w:rFonts w:cs="Arial"/>
          <w:lang w:val="en-GB"/>
        </w:rPr>
        <w:t xml:space="preserve"> (intra-muscular and intravenous) routes. Benzodiazepines (</w:t>
      </w:r>
      <w:proofErr w:type="spellStart"/>
      <w:r>
        <w:rPr>
          <w:rFonts w:cs="Arial"/>
          <w:lang w:val="en-GB"/>
        </w:rPr>
        <w:t>midazolam</w:t>
      </w:r>
      <w:proofErr w:type="spellEnd"/>
      <w:r>
        <w:rPr>
          <w:rFonts w:cs="Arial"/>
          <w:lang w:val="en-GB"/>
        </w:rPr>
        <w:t>, diazepam), intravenous anaesthetics (</w:t>
      </w:r>
      <w:proofErr w:type="spellStart"/>
      <w:r>
        <w:rPr>
          <w:rFonts w:cs="Arial"/>
          <w:lang w:val="en-GB"/>
        </w:rPr>
        <w:t>propofol</w:t>
      </w:r>
      <w:proofErr w:type="spellEnd"/>
      <w:r>
        <w:rPr>
          <w:rFonts w:cs="Arial"/>
          <w:lang w:val="en-GB"/>
        </w:rPr>
        <w:t xml:space="preserve">, </w:t>
      </w:r>
      <w:proofErr w:type="spellStart"/>
      <w:r>
        <w:rPr>
          <w:rFonts w:cs="Arial"/>
          <w:lang w:val="en-GB"/>
        </w:rPr>
        <w:t>ketamine</w:t>
      </w:r>
      <w:proofErr w:type="spellEnd"/>
      <w:r>
        <w:rPr>
          <w:rFonts w:cs="Arial"/>
          <w:lang w:val="en-GB"/>
        </w:rPr>
        <w:t xml:space="preserve">) and </w:t>
      </w:r>
      <w:proofErr w:type="spellStart"/>
      <w:r>
        <w:rPr>
          <w:rFonts w:cs="Arial"/>
          <w:lang w:val="en-GB"/>
        </w:rPr>
        <w:t>opioids</w:t>
      </w:r>
      <w:proofErr w:type="spellEnd"/>
      <w:r>
        <w:rPr>
          <w:rFonts w:cs="Arial"/>
          <w:lang w:val="en-GB"/>
        </w:rPr>
        <w:t xml:space="preserve"> (</w:t>
      </w:r>
      <w:proofErr w:type="spellStart"/>
      <w:r>
        <w:rPr>
          <w:rFonts w:cs="Arial"/>
          <w:lang w:val="en-GB"/>
        </w:rPr>
        <w:t>fentanyl</w:t>
      </w:r>
      <w:proofErr w:type="spellEnd"/>
      <w:r>
        <w:rPr>
          <w:rFonts w:cs="Arial"/>
          <w:lang w:val="en-GB"/>
        </w:rPr>
        <w:t xml:space="preserve"> or </w:t>
      </w:r>
      <w:proofErr w:type="spellStart"/>
      <w:r>
        <w:rPr>
          <w:rFonts w:cs="Arial"/>
          <w:lang w:val="en-GB"/>
        </w:rPr>
        <w:t>pethidine</w:t>
      </w:r>
      <w:proofErr w:type="spellEnd"/>
      <w:r>
        <w:rPr>
          <w:rFonts w:cs="Arial"/>
          <w:lang w:val="en-GB"/>
        </w:rPr>
        <w:t>) are the commonly used agents.</w:t>
      </w:r>
    </w:p>
    <w:p w:rsidR="007C6CD4" w:rsidRDefault="007C6CD4" w:rsidP="007C6CD4">
      <w:pPr>
        <w:ind w:left="357"/>
        <w:rPr>
          <w:rFonts w:cs="Arial"/>
        </w:rPr>
      </w:pPr>
    </w:p>
    <w:p w:rsidR="007C6CD4" w:rsidRDefault="007C6CD4" w:rsidP="007C6CD4">
      <w:pPr>
        <w:pStyle w:val="Heading1"/>
        <w:numPr>
          <w:ilvl w:val="0"/>
          <w:numId w:val="4"/>
        </w:numPr>
      </w:pPr>
      <w:bookmarkStart w:id="11" w:name="_Toc315243028"/>
      <w:bookmarkStart w:id="12" w:name="_Toc315242880"/>
      <w:bookmarkStart w:id="13" w:name="_Toc315242624"/>
      <w:bookmarkStart w:id="14" w:name="_Toc315242549"/>
      <w:r>
        <w:t>D</w:t>
      </w:r>
      <w:bookmarkEnd w:id="11"/>
      <w:bookmarkEnd w:id="12"/>
      <w:bookmarkEnd w:id="13"/>
      <w:bookmarkEnd w:id="14"/>
      <w:r w:rsidR="00BA712D">
        <w:t>uties and responsibilities</w:t>
      </w:r>
    </w:p>
    <w:p w:rsidR="007C6CD4" w:rsidRDefault="007C6CD4" w:rsidP="007C6CD4">
      <w:pPr>
        <w:rPr>
          <w:rFonts w:cs="Arial"/>
        </w:rPr>
      </w:pPr>
      <w:r>
        <w:rPr>
          <w:rFonts w:cs="Arial"/>
        </w:rPr>
        <w:t>Elements of the process may be delegated to a suitably trained and qualified professional but the ultimate responsibility for the quality of medical care lies with the Consultant responsible for the patients.</w:t>
      </w:r>
    </w:p>
    <w:p w:rsidR="007C6CD4" w:rsidRDefault="007C6CD4" w:rsidP="007C6CD4">
      <w:pPr>
        <w:rPr>
          <w:rFonts w:cs="Arial"/>
        </w:rPr>
      </w:pPr>
    </w:p>
    <w:p w:rsidR="007C6CD4" w:rsidRDefault="00BA712D" w:rsidP="007C6CD4">
      <w:pPr>
        <w:rPr>
          <w:rFonts w:cs="Arial"/>
        </w:rPr>
      </w:pPr>
      <w:r>
        <w:rPr>
          <w:rFonts w:cs="Arial"/>
        </w:rPr>
        <w:t>Each clinician</w:t>
      </w:r>
      <w:r w:rsidR="007C6CD4">
        <w:rPr>
          <w:rFonts w:cs="Arial"/>
        </w:rPr>
        <w:t xml:space="preserve"> performing procedures requiring a sedation service should nominate a consultant with explicit responsibil</w:t>
      </w:r>
      <w:r>
        <w:rPr>
          <w:rFonts w:cs="Arial"/>
        </w:rPr>
        <w:t xml:space="preserve">ity for establishing the practice </w:t>
      </w:r>
      <w:r w:rsidR="007C6CD4">
        <w:rPr>
          <w:rFonts w:cs="Arial"/>
        </w:rPr>
        <w:t xml:space="preserve">guidelines for sedation. A consultant </w:t>
      </w:r>
      <w:proofErr w:type="spellStart"/>
      <w:r w:rsidR="007C6CD4">
        <w:rPr>
          <w:rFonts w:cs="Arial"/>
        </w:rPr>
        <w:t>anaesthetist</w:t>
      </w:r>
      <w:proofErr w:type="spellEnd"/>
      <w:r w:rsidR="007C6CD4">
        <w:rPr>
          <w:rFonts w:cs="Arial"/>
        </w:rPr>
        <w:t xml:space="preserve"> will also be nominated to assist in this process.</w:t>
      </w:r>
    </w:p>
    <w:p w:rsidR="007C6CD4" w:rsidRDefault="007C6CD4" w:rsidP="007C6CD4">
      <w:pPr>
        <w:rPr>
          <w:rFonts w:cs="Arial"/>
        </w:rPr>
      </w:pPr>
    </w:p>
    <w:p w:rsidR="007C6CD4" w:rsidRDefault="007C6CD4" w:rsidP="007C6CD4">
      <w:pPr>
        <w:rPr>
          <w:rFonts w:cs="Arial"/>
        </w:rPr>
      </w:pPr>
      <w:r>
        <w:rPr>
          <w:rFonts w:cs="Arial"/>
        </w:rPr>
        <w:t xml:space="preserve">The nominated clinicians should liaise to discuss common issues such as: assessment, training, drug regimens, monitoring required, discharge criteria, monitoring of standards and complications as well as operational implications. </w:t>
      </w:r>
    </w:p>
    <w:p w:rsidR="007C6CD4" w:rsidRDefault="007C6CD4" w:rsidP="007C6CD4">
      <w:pPr>
        <w:rPr>
          <w:rFonts w:cs="Arial"/>
        </w:rPr>
      </w:pPr>
    </w:p>
    <w:p w:rsidR="007C6CD4" w:rsidRDefault="007C6CD4" w:rsidP="007C6CD4">
      <w:pPr>
        <w:rPr>
          <w:rFonts w:cs="Arial"/>
        </w:rPr>
      </w:pPr>
    </w:p>
    <w:p w:rsidR="007C6CD4" w:rsidRDefault="007C6CD4" w:rsidP="007C6CD4">
      <w:pPr>
        <w:ind w:left="0"/>
        <w:rPr>
          <w:rFonts w:cs="Arial"/>
        </w:rPr>
      </w:pPr>
    </w:p>
    <w:p w:rsidR="007C6CD4" w:rsidRDefault="00BA712D" w:rsidP="007C6CD4">
      <w:pPr>
        <w:pStyle w:val="Heading1"/>
        <w:numPr>
          <w:ilvl w:val="0"/>
          <w:numId w:val="4"/>
        </w:numPr>
      </w:pPr>
      <w:bookmarkStart w:id="15" w:name="_Toc315243029"/>
      <w:bookmarkStart w:id="16" w:name="_Toc315242881"/>
      <w:bookmarkStart w:id="17" w:name="_Toc315242625"/>
      <w:bookmarkStart w:id="18" w:name="_Toc315242550"/>
      <w:r>
        <w:t xml:space="preserve">The </w:t>
      </w:r>
      <w:r w:rsidR="007C6CD4">
        <w:t>P</w:t>
      </w:r>
      <w:bookmarkEnd w:id="15"/>
      <w:bookmarkEnd w:id="16"/>
      <w:bookmarkEnd w:id="17"/>
      <w:bookmarkEnd w:id="18"/>
      <w:r>
        <w:t>rocess</w:t>
      </w:r>
    </w:p>
    <w:p w:rsidR="007C6CD4" w:rsidRDefault="007C6CD4" w:rsidP="007C6CD4"/>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8"/>
        <w:gridCol w:w="3504"/>
        <w:gridCol w:w="1462"/>
        <w:gridCol w:w="1185"/>
        <w:gridCol w:w="9"/>
        <w:gridCol w:w="1462"/>
      </w:tblGrid>
      <w:tr w:rsidR="00BA712D" w:rsidTr="00BA712D">
        <w:trPr>
          <w:gridAfter w:val="1"/>
          <w:wAfter w:w="1462" w:type="dxa"/>
          <w:cantSplit/>
          <w:trHeight w:val="761"/>
        </w:trPr>
        <w:tc>
          <w:tcPr>
            <w:tcW w:w="23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A712D" w:rsidRDefault="00BA712D" w:rsidP="00BA712D">
            <w:pPr>
              <w:spacing w:before="240" w:after="60"/>
              <w:ind w:left="0"/>
              <w:jc w:val="center"/>
              <w:outlineLvl w:val="8"/>
              <w:rPr>
                <w:rFonts w:cs="Arial"/>
                <w:b/>
                <w:bCs/>
              </w:rPr>
            </w:pPr>
            <w:bookmarkStart w:id="19" w:name="_Toc115586965"/>
            <w:r>
              <w:rPr>
                <w:rFonts w:cs="Arial"/>
                <w:b/>
                <w:bCs/>
              </w:rPr>
              <w:t>ACTION</w:t>
            </w:r>
            <w:bookmarkEnd w:id="19"/>
          </w:p>
        </w:tc>
        <w:tc>
          <w:tcPr>
            <w:tcW w:w="3504"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A712D" w:rsidRDefault="00BA712D" w:rsidP="00BA712D">
            <w:pPr>
              <w:spacing w:before="240" w:after="60"/>
              <w:ind w:left="0"/>
              <w:jc w:val="center"/>
              <w:outlineLvl w:val="8"/>
              <w:rPr>
                <w:rFonts w:cs="Arial"/>
                <w:b/>
                <w:bCs/>
              </w:rPr>
            </w:pPr>
            <w:bookmarkStart w:id="20" w:name="_Toc115586966"/>
            <w:r>
              <w:rPr>
                <w:rFonts w:cs="Arial"/>
                <w:b/>
                <w:bCs/>
              </w:rPr>
              <w:t>RATIONALE</w:t>
            </w:r>
            <w:bookmarkEnd w:id="20"/>
          </w:p>
        </w:tc>
        <w:tc>
          <w:tcPr>
            <w:tcW w:w="2656" w:type="dxa"/>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BA712D" w:rsidRDefault="00BA712D" w:rsidP="00BA712D">
            <w:pPr>
              <w:spacing w:before="240" w:after="60"/>
              <w:ind w:left="0"/>
              <w:jc w:val="center"/>
              <w:outlineLvl w:val="5"/>
              <w:rPr>
                <w:rFonts w:cs="Arial"/>
                <w:b/>
                <w:caps/>
              </w:rPr>
            </w:pPr>
            <w:bookmarkStart w:id="21" w:name="_Toc115586968"/>
            <w:r>
              <w:rPr>
                <w:rFonts w:cs="Arial"/>
                <w:b/>
                <w:caps/>
              </w:rPr>
              <w:t>Potential Risks/Harms</w:t>
            </w:r>
            <w:bookmarkEnd w:id="21"/>
          </w:p>
        </w:tc>
      </w:tr>
      <w:tr w:rsidR="00BA712D" w:rsidTr="00BA712D">
        <w:trPr>
          <w:gridAfter w:val="1"/>
          <w:wAfter w:w="1462" w:type="dxa"/>
          <w:cantSplit/>
          <w:trHeight w:val="757"/>
        </w:trPr>
        <w:tc>
          <w:tcPr>
            <w:tcW w:w="2368" w:type="dxa"/>
            <w:tcBorders>
              <w:top w:val="single" w:sz="4" w:space="0" w:color="auto"/>
              <w:left w:val="single" w:sz="4" w:space="0" w:color="auto"/>
              <w:bottom w:val="single" w:sz="4" w:space="0" w:color="auto"/>
              <w:right w:val="single" w:sz="4" w:space="0" w:color="auto"/>
            </w:tcBorders>
            <w:vAlign w:val="center"/>
            <w:hideMark/>
          </w:tcPr>
          <w:p w:rsidR="00BA712D" w:rsidRDefault="00BA712D" w:rsidP="00BA712D">
            <w:pPr>
              <w:spacing w:after="120"/>
              <w:ind w:left="0"/>
              <w:jc w:val="center"/>
              <w:rPr>
                <w:rFonts w:cs="Arial"/>
                <w:b/>
                <w:bCs/>
              </w:rPr>
            </w:pPr>
            <w:r>
              <w:rPr>
                <w:rFonts w:cs="Arial"/>
                <w:b/>
                <w:bCs/>
              </w:rPr>
              <w:t>Assessment of all patients should take place before any sedation technique is contemplated.</w:t>
            </w:r>
          </w:p>
        </w:tc>
        <w:tc>
          <w:tcPr>
            <w:tcW w:w="3504" w:type="dxa"/>
            <w:tcBorders>
              <w:top w:val="single" w:sz="4" w:space="0" w:color="auto"/>
              <w:left w:val="single" w:sz="4" w:space="0" w:color="auto"/>
              <w:bottom w:val="single" w:sz="4" w:space="0" w:color="auto"/>
              <w:right w:val="single" w:sz="4" w:space="0" w:color="auto"/>
            </w:tcBorders>
            <w:vAlign w:val="center"/>
            <w:hideMark/>
          </w:tcPr>
          <w:p w:rsidR="00BA712D" w:rsidRDefault="00BA712D" w:rsidP="00BA712D">
            <w:pPr>
              <w:ind w:left="0"/>
              <w:jc w:val="center"/>
              <w:rPr>
                <w:rFonts w:cs="Arial"/>
                <w:bCs/>
              </w:rPr>
            </w:pPr>
            <w:r>
              <w:rPr>
                <w:rFonts w:cs="Arial"/>
                <w:bCs/>
              </w:rPr>
              <w:t>Establish need for sedation.</w:t>
            </w:r>
          </w:p>
          <w:p w:rsidR="00BA712D" w:rsidRDefault="00BA712D" w:rsidP="00BA712D">
            <w:pPr>
              <w:ind w:left="0"/>
              <w:jc w:val="center"/>
              <w:rPr>
                <w:rFonts w:cs="Arial"/>
                <w:bCs/>
              </w:rPr>
            </w:pPr>
            <w:r>
              <w:rPr>
                <w:rFonts w:cs="Arial"/>
                <w:bCs/>
              </w:rPr>
              <w:t>Identify:</w:t>
            </w:r>
          </w:p>
          <w:p w:rsidR="00BA712D" w:rsidRDefault="00BA712D" w:rsidP="00BA712D">
            <w:pPr>
              <w:widowControl w:val="0"/>
              <w:numPr>
                <w:ilvl w:val="0"/>
                <w:numId w:val="8"/>
              </w:numPr>
              <w:ind w:left="357" w:hanging="357"/>
              <w:jc w:val="center"/>
              <w:rPr>
                <w:rFonts w:cs="Arial"/>
                <w:bCs/>
                <w:snapToGrid w:val="0"/>
              </w:rPr>
            </w:pPr>
            <w:r>
              <w:rPr>
                <w:rFonts w:cs="Arial"/>
                <w:bCs/>
                <w:snapToGrid w:val="0"/>
              </w:rPr>
              <w:t>risk factors</w:t>
            </w:r>
          </w:p>
          <w:p w:rsidR="00BA712D" w:rsidRDefault="00BA712D" w:rsidP="00BA712D">
            <w:pPr>
              <w:numPr>
                <w:ilvl w:val="0"/>
                <w:numId w:val="8"/>
              </w:numPr>
              <w:ind w:left="357" w:hanging="357"/>
              <w:jc w:val="center"/>
              <w:rPr>
                <w:rFonts w:cs="Arial"/>
                <w:bCs/>
              </w:rPr>
            </w:pPr>
            <w:r>
              <w:rPr>
                <w:rFonts w:cs="Arial"/>
                <w:bCs/>
              </w:rPr>
              <w:t>need for further investigations</w:t>
            </w:r>
          </w:p>
          <w:p w:rsidR="00BA712D" w:rsidRDefault="00BA712D" w:rsidP="00BA712D">
            <w:pPr>
              <w:numPr>
                <w:ilvl w:val="0"/>
                <w:numId w:val="8"/>
              </w:numPr>
              <w:ind w:left="357" w:hanging="357"/>
              <w:jc w:val="center"/>
              <w:rPr>
                <w:rFonts w:cs="Arial"/>
                <w:bCs/>
              </w:rPr>
            </w:pPr>
            <w:proofErr w:type="gramStart"/>
            <w:r>
              <w:rPr>
                <w:rFonts w:cs="Arial"/>
                <w:bCs/>
              </w:rPr>
              <w:t>contra-indications</w:t>
            </w:r>
            <w:proofErr w:type="gramEnd"/>
            <w:r>
              <w:rPr>
                <w:rFonts w:cs="Arial"/>
                <w:bCs/>
              </w:rPr>
              <w:t xml:space="preserve"> or technical difficulties of particular sedation technique.</w:t>
            </w:r>
          </w:p>
          <w:p w:rsidR="00BA712D" w:rsidRDefault="00BA712D" w:rsidP="00BA712D">
            <w:pPr>
              <w:numPr>
                <w:ilvl w:val="0"/>
                <w:numId w:val="9"/>
              </w:numPr>
              <w:jc w:val="center"/>
              <w:rPr>
                <w:rFonts w:cs="Arial"/>
                <w:bCs/>
              </w:rPr>
            </w:pPr>
            <w:r>
              <w:rPr>
                <w:rFonts w:cs="Arial"/>
                <w:bCs/>
              </w:rPr>
              <w:t>Provide information to patient.</w:t>
            </w:r>
          </w:p>
        </w:tc>
        <w:tc>
          <w:tcPr>
            <w:tcW w:w="2656" w:type="dxa"/>
            <w:gridSpan w:val="3"/>
            <w:tcBorders>
              <w:top w:val="single" w:sz="4" w:space="0" w:color="auto"/>
              <w:left w:val="single" w:sz="4" w:space="0" w:color="auto"/>
              <w:bottom w:val="single" w:sz="4" w:space="0" w:color="auto"/>
              <w:right w:val="single" w:sz="4" w:space="0" w:color="auto"/>
            </w:tcBorders>
            <w:vAlign w:val="center"/>
            <w:hideMark/>
          </w:tcPr>
          <w:p w:rsidR="00BA712D" w:rsidRDefault="00BA712D" w:rsidP="00BA712D">
            <w:pPr>
              <w:ind w:left="34" w:hanging="34"/>
              <w:jc w:val="center"/>
              <w:rPr>
                <w:rFonts w:cs="Arial"/>
                <w:bCs/>
              </w:rPr>
            </w:pPr>
            <w:r>
              <w:rPr>
                <w:rFonts w:cs="Arial"/>
                <w:bCs/>
              </w:rPr>
              <w:t>Unnecessary use of sedation.</w:t>
            </w:r>
          </w:p>
          <w:p w:rsidR="00BA712D" w:rsidRDefault="00BA712D" w:rsidP="00BA712D">
            <w:pPr>
              <w:ind w:left="34" w:hanging="34"/>
              <w:jc w:val="center"/>
              <w:rPr>
                <w:rFonts w:cs="Arial"/>
                <w:bCs/>
              </w:rPr>
            </w:pPr>
            <w:r>
              <w:rPr>
                <w:rFonts w:cs="Arial"/>
                <w:bCs/>
              </w:rPr>
              <w:t>Increased risk of complications of sedation techniques</w:t>
            </w:r>
          </w:p>
          <w:p w:rsidR="00BA712D" w:rsidRDefault="00BA712D" w:rsidP="00BA712D">
            <w:pPr>
              <w:ind w:left="34" w:hanging="34"/>
              <w:jc w:val="center"/>
              <w:rPr>
                <w:rFonts w:cs="Arial"/>
                <w:bCs/>
              </w:rPr>
            </w:pPr>
            <w:r>
              <w:rPr>
                <w:rFonts w:cs="Arial"/>
                <w:bCs/>
              </w:rPr>
              <w:t>Inadequate consent acquired with risk of litigation</w:t>
            </w:r>
          </w:p>
        </w:tc>
      </w:tr>
      <w:tr w:rsidR="00BA712D" w:rsidTr="00BA712D">
        <w:trPr>
          <w:gridAfter w:val="1"/>
          <w:wAfter w:w="1462" w:type="dxa"/>
          <w:cantSplit/>
          <w:trHeight w:val="757"/>
        </w:trPr>
        <w:tc>
          <w:tcPr>
            <w:tcW w:w="2368" w:type="dxa"/>
            <w:tcBorders>
              <w:top w:val="single" w:sz="4" w:space="0" w:color="auto"/>
              <w:left w:val="single" w:sz="4" w:space="0" w:color="auto"/>
              <w:bottom w:val="single" w:sz="4" w:space="0" w:color="auto"/>
              <w:right w:val="single" w:sz="4" w:space="0" w:color="auto"/>
            </w:tcBorders>
            <w:vAlign w:val="center"/>
          </w:tcPr>
          <w:p w:rsidR="00BA712D" w:rsidRDefault="00BA712D" w:rsidP="00BA712D">
            <w:pPr>
              <w:ind w:left="0"/>
              <w:jc w:val="center"/>
              <w:rPr>
                <w:rFonts w:cs="Arial"/>
                <w:b/>
                <w:bCs/>
              </w:rPr>
            </w:pPr>
          </w:p>
          <w:p w:rsidR="00BA712D" w:rsidRDefault="00BA712D" w:rsidP="00BA712D">
            <w:pPr>
              <w:ind w:left="0"/>
              <w:jc w:val="center"/>
              <w:rPr>
                <w:rFonts w:cs="Arial"/>
                <w:b/>
                <w:bCs/>
              </w:rPr>
            </w:pPr>
            <w:r>
              <w:rPr>
                <w:rFonts w:cs="Arial"/>
                <w:b/>
                <w:bCs/>
              </w:rPr>
              <w:t>Appropriate sedation techniques should be used</w:t>
            </w:r>
          </w:p>
          <w:p w:rsidR="00BA712D" w:rsidRDefault="00BA712D" w:rsidP="00BA712D">
            <w:pPr>
              <w:spacing w:after="120"/>
              <w:ind w:left="0"/>
              <w:jc w:val="center"/>
              <w:rPr>
                <w:rFonts w:cs="Arial"/>
                <w:b/>
                <w:bCs/>
              </w:rPr>
            </w:pPr>
          </w:p>
        </w:tc>
        <w:tc>
          <w:tcPr>
            <w:tcW w:w="3504" w:type="dxa"/>
            <w:tcBorders>
              <w:top w:val="single" w:sz="4" w:space="0" w:color="auto"/>
              <w:left w:val="single" w:sz="4" w:space="0" w:color="auto"/>
              <w:bottom w:val="single" w:sz="4" w:space="0" w:color="auto"/>
              <w:right w:val="single" w:sz="4" w:space="0" w:color="auto"/>
            </w:tcBorders>
            <w:vAlign w:val="center"/>
            <w:hideMark/>
          </w:tcPr>
          <w:p w:rsidR="00BA712D" w:rsidRDefault="00BA712D" w:rsidP="00BA712D">
            <w:pPr>
              <w:tabs>
                <w:tab w:val="center" w:pos="4153"/>
                <w:tab w:val="right" w:pos="8306"/>
              </w:tabs>
              <w:ind w:left="34"/>
              <w:jc w:val="center"/>
              <w:rPr>
                <w:rFonts w:cs="Arial"/>
                <w:bCs/>
              </w:rPr>
            </w:pPr>
            <w:r>
              <w:rPr>
                <w:rFonts w:cs="Arial"/>
                <w:bCs/>
              </w:rPr>
              <w:t>Some procedures are painful. Most sedative drugs do not have analgesic properties and analgesics would be more appropriate</w:t>
            </w:r>
          </w:p>
        </w:tc>
        <w:tc>
          <w:tcPr>
            <w:tcW w:w="2656" w:type="dxa"/>
            <w:gridSpan w:val="3"/>
            <w:tcBorders>
              <w:top w:val="single" w:sz="4" w:space="0" w:color="auto"/>
              <w:left w:val="single" w:sz="4" w:space="0" w:color="auto"/>
              <w:bottom w:val="single" w:sz="4" w:space="0" w:color="auto"/>
              <w:right w:val="single" w:sz="4" w:space="0" w:color="auto"/>
            </w:tcBorders>
            <w:vAlign w:val="center"/>
            <w:hideMark/>
          </w:tcPr>
          <w:p w:rsidR="00BA712D" w:rsidRDefault="00BA712D" w:rsidP="00BA712D">
            <w:pPr>
              <w:ind w:left="34" w:hanging="34"/>
              <w:jc w:val="center"/>
              <w:rPr>
                <w:rFonts w:cs="Arial"/>
                <w:bCs/>
              </w:rPr>
            </w:pPr>
            <w:r>
              <w:rPr>
                <w:rFonts w:cs="Arial"/>
                <w:bCs/>
              </w:rPr>
              <w:t>Overdose of sedative drugs to overcome response to painful stimulus causing cardio-respiratory depression</w:t>
            </w:r>
          </w:p>
        </w:tc>
      </w:tr>
      <w:tr w:rsidR="00BA712D" w:rsidTr="00BA712D">
        <w:trPr>
          <w:gridAfter w:val="1"/>
          <w:wAfter w:w="1462" w:type="dxa"/>
          <w:cantSplit/>
          <w:trHeight w:val="757"/>
        </w:trPr>
        <w:tc>
          <w:tcPr>
            <w:tcW w:w="2368" w:type="dxa"/>
            <w:tcBorders>
              <w:top w:val="single" w:sz="4" w:space="0" w:color="auto"/>
              <w:left w:val="single" w:sz="4" w:space="0" w:color="auto"/>
              <w:bottom w:val="single" w:sz="4" w:space="0" w:color="auto"/>
              <w:right w:val="single" w:sz="4" w:space="0" w:color="auto"/>
            </w:tcBorders>
            <w:vAlign w:val="center"/>
            <w:hideMark/>
          </w:tcPr>
          <w:p w:rsidR="00BA712D" w:rsidRDefault="00BA712D" w:rsidP="00BA712D">
            <w:pPr>
              <w:spacing w:after="120"/>
              <w:ind w:left="0"/>
              <w:jc w:val="center"/>
              <w:rPr>
                <w:rFonts w:cs="Arial"/>
                <w:b/>
                <w:bCs/>
              </w:rPr>
            </w:pPr>
            <w:r>
              <w:rPr>
                <w:rFonts w:cs="Arial"/>
                <w:b/>
                <w:bCs/>
              </w:rPr>
              <w:t>Operator-</w:t>
            </w:r>
            <w:proofErr w:type="spellStart"/>
            <w:r>
              <w:rPr>
                <w:rFonts w:cs="Arial"/>
                <w:b/>
                <w:bCs/>
              </w:rPr>
              <w:t>sedationists</w:t>
            </w:r>
            <w:proofErr w:type="spellEnd"/>
            <w:r>
              <w:rPr>
                <w:rFonts w:cs="Arial"/>
                <w:b/>
                <w:bCs/>
              </w:rPr>
              <w:t xml:space="preserve"> should only be responsible for patients undergoing defined procedures</w:t>
            </w:r>
          </w:p>
        </w:tc>
        <w:tc>
          <w:tcPr>
            <w:tcW w:w="3504" w:type="dxa"/>
            <w:tcBorders>
              <w:top w:val="single" w:sz="4" w:space="0" w:color="auto"/>
              <w:left w:val="single" w:sz="4" w:space="0" w:color="auto"/>
              <w:bottom w:val="single" w:sz="4" w:space="0" w:color="auto"/>
              <w:right w:val="single" w:sz="4" w:space="0" w:color="auto"/>
            </w:tcBorders>
            <w:vAlign w:val="center"/>
          </w:tcPr>
          <w:p w:rsidR="00BA712D" w:rsidRDefault="00BA712D" w:rsidP="00BA712D">
            <w:pPr>
              <w:tabs>
                <w:tab w:val="center" w:pos="4153"/>
                <w:tab w:val="right" w:pos="8306"/>
              </w:tabs>
              <w:ind w:left="0"/>
              <w:jc w:val="center"/>
              <w:rPr>
                <w:rFonts w:cs="Arial"/>
                <w:bCs/>
              </w:rPr>
            </w:pPr>
            <w:r>
              <w:rPr>
                <w:rFonts w:cs="Arial"/>
                <w:bCs/>
              </w:rPr>
              <w:t>Operators responsible for the safe performance of a procedure cannot administer, monitor or treat the complications of sedation in a timely manner</w:t>
            </w:r>
          </w:p>
          <w:p w:rsidR="00BA712D" w:rsidRDefault="00BA712D" w:rsidP="00BA712D">
            <w:pPr>
              <w:jc w:val="center"/>
              <w:rPr>
                <w:rFonts w:cs="Arial"/>
                <w:bCs/>
              </w:rPr>
            </w:pPr>
          </w:p>
        </w:tc>
        <w:tc>
          <w:tcPr>
            <w:tcW w:w="2656" w:type="dxa"/>
            <w:gridSpan w:val="3"/>
            <w:tcBorders>
              <w:top w:val="single" w:sz="4" w:space="0" w:color="auto"/>
              <w:left w:val="single" w:sz="4" w:space="0" w:color="auto"/>
              <w:bottom w:val="single" w:sz="4" w:space="0" w:color="auto"/>
              <w:right w:val="single" w:sz="4" w:space="0" w:color="auto"/>
            </w:tcBorders>
            <w:vAlign w:val="center"/>
            <w:hideMark/>
          </w:tcPr>
          <w:p w:rsidR="00BA712D" w:rsidRDefault="00BA712D" w:rsidP="00BA712D">
            <w:pPr>
              <w:widowControl w:val="0"/>
              <w:spacing w:after="120"/>
              <w:ind w:left="0"/>
              <w:jc w:val="center"/>
              <w:rPr>
                <w:rFonts w:cs="Arial"/>
                <w:bCs/>
                <w:snapToGrid w:val="0"/>
              </w:rPr>
            </w:pPr>
            <w:r>
              <w:rPr>
                <w:snapToGrid w:val="0"/>
              </w:rPr>
              <w:t xml:space="preserve">Delayed recognition and treatment of complications of sedation by a distracted operator may result in cardiopulmonary </w:t>
            </w:r>
            <w:proofErr w:type="spellStart"/>
            <w:r>
              <w:rPr>
                <w:snapToGrid w:val="0"/>
              </w:rPr>
              <w:t>decompensation</w:t>
            </w:r>
            <w:proofErr w:type="spellEnd"/>
            <w:r>
              <w:rPr>
                <w:snapToGrid w:val="0"/>
              </w:rPr>
              <w:t xml:space="preserve"> hypoxic injury and death</w:t>
            </w:r>
          </w:p>
        </w:tc>
      </w:tr>
      <w:tr w:rsidR="00BA712D" w:rsidTr="00BA712D">
        <w:trPr>
          <w:gridAfter w:val="1"/>
          <w:wAfter w:w="1462" w:type="dxa"/>
          <w:cantSplit/>
          <w:trHeight w:val="757"/>
        </w:trPr>
        <w:tc>
          <w:tcPr>
            <w:tcW w:w="2368" w:type="dxa"/>
            <w:tcBorders>
              <w:top w:val="single" w:sz="4" w:space="0" w:color="auto"/>
              <w:left w:val="single" w:sz="4" w:space="0" w:color="auto"/>
              <w:bottom w:val="single" w:sz="4" w:space="0" w:color="auto"/>
              <w:right w:val="single" w:sz="4" w:space="0" w:color="auto"/>
            </w:tcBorders>
            <w:vAlign w:val="center"/>
            <w:hideMark/>
          </w:tcPr>
          <w:p w:rsidR="00BA712D" w:rsidRDefault="00BA712D" w:rsidP="00AA74D8">
            <w:pPr>
              <w:spacing w:after="120"/>
              <w:ind w:left="0"/>
              <w:jc w:val="left"/>
              <w:rPr>
                <w:rFonts w:cs="Arial"/>
                <w:b/>
                <w:bCs/>
              </w:rPr>
            </w:pPr>
            <w:r>
              <w:rPr>
                <w:rFonts w:cs="Arial"/>
                <w:b/>
                <w:bCs/>
              </w:rPr>
              <w:lastRenderedPageBreak/>
              <w:t>Generally only one sedative drug should be used according agreed protocols defining increments and maximum doses.</w:t>
            </w:r>
          </w:p>
        </w:tc>
        <w:tc>
          <w:tcPr>
            <w:tcW w:w="3504" w:type="dxa"/>
            <w:tcBorders>
              <w:top w:val="single" w:sz="4" w:space="0" w:color="auto"/>
              <w:left w:val="single" w:sz="4" w:space="0" w:color="auto"/>
              <w:bottom w:val="single" w:sz="4" w:space="0" w:color="auto"/>
              <w:right w:val="single" w:sz="4" w:space="0" w:color="auto"/>
            </w:tcBorders>
            <w:vAlign w:val="center"/>
          </w:tcPr>
          <w:p w:rsidR="00BA712D" w:rsidRDefault="00BA712D" w:rsidP="00AA74D8">
            <w:pPr>
              <w:tabs>
                <w:tab w:val="center" w:pos="4153"/>
                <w:tab w:val="right" w:pos="8306"/>
              </w:tabs>
              <w:ind w:left="0"/>
              <w:jc w:val="left"/>
              <w:rPr>
                <w:rFonts w:cs="Arial"/>
                <w:bCs/>
              </w:rPr>
            </w:pPr>
            <w:r>
              <w:rPr>
                <w:rFonts w:cs="Arial"/>
                <w:bCs/>
              </w:rPr>
              <w:t xml:space="preserve">The synergy of different types of drug significantly reduce the margin of safety between conscious sedation and general </w:t>
            </w:r>
            <w:proofErr w:type="spellStart"/>
            <w:r>
              <w:rPr>
                <w:rFonts w:cs="Arial"/>
                <w:bCs/>
              </w:rPr>
              <w:t>anaesthesia</w:t>
            </w:r>
            <w:proofErr w:type="spellEnd"/>
          </w:p>
          <w:p w:rsidR="00BA712D" w:rsidRDefault="00BA712D" w:rsidP="00AA74D8">
            <w:pPr>
              <w:jc w:val="left"/>
              <w:rPr>
                <w:rFonts w:cs="Arial"/>
                <w:bCs/>
              </w:rPr>
            </w:pPr>
          </w:p>
        </w:tc>
        <w:tc>
          <w:tcPr>
            <w:tcW w:w="2656" w:type="dxa"/>
            <w:gridSpan w:val="3"/>
            <w:tcBorders>
              <w:top w:val="single" w:sz="4" w:space="0" w:color="auto"/>
              <w:left w:val="single" w:sz="4" w:space="0" w:color="auto"/>
              <w:bottom w:val="single" w:sz="4" w:space="0" w:color="auto"/>
              <w:right w:val="single" w:sz="4" w:space="0" w:color="auto"/>
            </w:tcBorders>
            <w:vAlign w:val="center"/>
          </w:tcPr>
          <w:p w:rsidR="00BA712D" w:rsidRDefault="00BA712D" w:rsidP="00AA74D8">
            <w:pPr>
              <w:widowControl w:val="0"/>
              <w:spacing w:after="120"/>
              <w:ind w:left="0"/>
              <w:jc w:val="left"/>
              <w:rPr>
                <w:rFonts w:cs="Arial"/>
                <w:bCs/>
                <w:snapToGrid w:val="0"/>
              </w:rPr>
            </w:pPr>
            <w:r>
              <w:rPr>
                <w:rFonts w:cs="Arial"/>
                <w:bCs/>
                <w:snapToGrid w:val="0"/>
              </w:rPr>
              <w:t xml:space="preserve">The state of </w:t>
            </w:r>
            <w:proofErr w:type="spellStart"/>
            <w:r>
              <w:rPr>
                <w:rFonts w:cs="Arial"/>
                <w:bCs/>
                <w:snapToGrid w:val="0"/>
              </w:rPr>
              <w:t>anaesthesia</w:t>
            </w:r>
            <w:proofErr w:type="spellEnd"/>
            <w:r>
              <w:rPr>
                <w:rFonts w:cs="Arial"/>
                <w:bCs/>
                <w:snapToGrid w:val="0"/>
              </w:rPr>
              <w:t xml:space="preserve"> carries risk of death and require greater levels of support and intervention</w:t>
            </w:r>
          </w:p>
          <w:p w:rsidR="00BA712D" w:rsidRDefault="00BA712D" w:rsidP="00AA74D8">
            <w:pPr>
              <w:ind w:left="34" w:hanging="34"/>
              <w:jc w:val="left"/>
              <w:rPr>
                <w:rFonts w:cs="Arial"/>
                <w:bCs/>
              </w:rPr>
            </w:pPr>
          </w:p>
        </w:tc>
      </w:tr>
      <w:tr w:rsidR="00BA712D" w:rsidTr="00BA712D">
        <w:trPr>
          <w:gridAfter w:val="1"/>
          <w:wAfter w:w="1462" w:type="dxa"/>
          <w:cantSplit/>
          <w:trHeight w:val="757"/>
        </w:trPr>
        <w:tc>
          <w:tcPr>
            <w:tcW w:w="2368" w:type="dxa"/>
            <w:tcBorders>
              <w:top w:val="single" w:sz="4" w:space="0" w:color="auto"/>
              <w:left w:val="single" w:sz="4" w:space="0" w:color="auto"/>
              <w:bottom w:val="single" w:sz="4" w:space="0" w:color="auto"/>
              <w:right w:val="single" w:sz="4" w:space="0" w:color="auto"/>
            </w:tcBorders>
            <w:vAlign w:val="center"/>
            <w:hideMark/>
          </w:tcPr>
          <w:p w:rsidR="00BA712D" w:rsidRDefault="00BA712D" w:rsidP="00AA74D8">
            <w:pPr>
              <w:pBdr>
                <w:top w:val="single" w:sz="4" w:space="1" w:color="auto" w:shadow="1"/>
                <w:left w:val="single" w:sz="4" w:space="4" w:color="auto" w:shadow="1"/>
                <w:bottom w:val="single" w:sz="4" w:space="1" w:color="auto" w:shadow="1"/>
                <w:right w:val="single" w:sz="4" w:space="4" w:color="auto" w:shadow="1"/>
              </w:pBdr>
              <w:shd w:val="clear" w:color="auto" w:fill="CCCCCC"/>
              <w:ind w:left="0"/>
              <w:jc w:val="left"/>
              <w:rPr>
                <w:rFonts w:cs="Arial"/>
                <w:b/>
              </w:rPr>
            </w:pPr>
            <w:r>
              <w:rPr>
                <w:b/>
              </w:rPr>
              <w:t xml:space="preserve">Sedative and </w:t>
            </w:r>
            <w:proofErr w:type="spellStart"/>
            <w:r>
              <w:rPr>
                <w:b/>
              </w:rPr>
              <w:t>opioid</w:t>
            </w:r>
            <w:proofErr w:type="spellEnd"/>
            <w:r>
              <w:rPr>
                <w:b/>
              </w:rPr>
              <w:t xml:space="preserve"> analgesic drugs should be stored and handled in line with T</w:t>
            </w:r>
            <w:r w:rsidR="00E36B0D">
              <w:rPr>
                <w:b/>
              </w:rPr>
              <w:t>he Practice Policy on POM</w:t>
            </w:r>
            <w:r>
              <w:rPr>
                <w:b/>
              </w:rPr>
              <w:t xml:space="preserve"> Drugs </w:t>
            </w:r>
          </w:p>
        </w:tc>
        <w:tc>
          <w:tcPr>
            <w:tcW w:w="3504" w:type="dxa"/>
            <w:tcBorders>
              <w:top w:val="single" w:sz="4" w:space="0" w:color="auto"/>
              <w:left w:val="single" w:sz="4" w:space="0" w:color="auto"/>
              <w:bottom w:val="single" w:sz="4" w:space="0" w:color="auto"/>
              <w:right w:val="single" w:sz="4" w:space="0" w:color="auto"/>
            </w:tcBorders>
            <w:vAlign w:val="center"/>
            <w:hideMark/>
          </w:tcPr>
          <w:p w:rsidR="00BA712D" w:rsidRDefault="00BA712D" w:rsidP="00AA74D8">
            <w:pPr>
              <w:tabs>
                <w:tab w:val="center" w:pos="4153"/>
                <w:tab w:val="right" w:pos="8306"/>
              </w:tabs>
              <w:ind w:left="0"/>
              <w:jc w:val="left"/>
              <w:rPr>
                <w:rFonts w:cs="Arial"/>
                <w:bCs/>
              </w:rPr>
            </w:pPr>
            <w:r>
              <w:rPr>
                <w:rFonts w:cs="Arial"/>
                <w:bCs/>
              </w:rPr>
              <w:t xml:space="preserve">Most of the drugs used in sedation techniques are </w:t>
            </w:r>
            <w:r w:rsidR="00E36B0D">
              <w:rPr>
                <w:rFonts w:cs="Arial"/>
                <w:bCs/>
              </w:rPr>
              <w:t>POM</w:t>
            </w:r>
            <w:r>
              <w:rPr>
                <w:rFonts w:cs="Arial"/>
                <w:bCs/>
              </w:rPr>
              <w:t xml:space="preserve"> and there are legal restrictions on their use and storage</w:t>
            </w:r>
          </w:p>
        </w:tc>
        <w:tc>
          <w:tcPr>
            <w:tcW w:w="2656" w:type="dxa"/>
            <w:gridSpan w:val="3"/>
            <w:tcBorders>
              <w:top w:val="single" w:sz="4" w:space="0" w:color="auto"/>
              <w:left w:val="single" w:sz="4" w:space="0" w:color="auto"/>
              <w:bottom w:val="single" w:sz="4" w:space="0" w:color="auto"/>
              <w:right w:val="single" w:sz="4" w:space="0" w:color="auto"/>
            </w:tcBorders>
            <w:vAlign w:val="center"/>
            <w:hideMark/>
          </w:tcPr>
          <w:p w:rsidR="00BA712D" w:rsidRDefault="00BA712D" w:rsidP="00AA74D8">
            <w:pPr>
              <w:ind w:left="0"/>
              <w:jc w:val="left"/>
              <w:rPr>
                <w:rFonts w:cs="Arial"/>
              </w:rPr>
            </w:pPr>
            <w:r>
              <w:rPr>
                <w:rFonts w:cs="Arial"/>
              </w:rPr>
              <w:t>Failure to comply with the Policy puts the practice at risk of prosecution under the Misuse of Drugs Act, 1971</w:t>
            </w:r>
          </w:p>
        </w:tc>
      </w:tr>
      <w:tr w:rsidR="00BA712D" w:rsidTr="00BA712D">
        <w:trPr>
          <w:gridAfter w:val="1"/>
          <w:wAfter w:w="1462" w:type="dxa"/>
          <w:cantSplit/>
          <w:trHeight w:val="757"/>
        </w:trPr>
        <w:tc>
          <w:tcPr>
            <w:tcW w:w="2368" w:type="dxa"/>
            <w:tcBorders>
              <w:top w:val="single" w:sz="4" w:space="0" w:color="auto"/>
              <w:left w:val="single" w:sz="4" w:space="0" w:color="auto"/>
              <w:bottom w:val="single" w:sz="4" w:space="0" w:color="auto"/>
              <w:right w:val="single" w:sz="4" w:space="0" w:color="auto"/>
            </w:tcBorders>
            <w:vAlign w:val="center"/>
            <w:hideMark/>
          </w:tcPr>
          <w:p w:rsidR="00BA712D" w:rsidRDefault="00BA712D" w:rsidP="00AA74D8">
            <w:pPr>
              <w:pBdr>
                <w:top w:val="single" w:sz="4" w:space="1" w:color="auto" w:shadow="1"/>
                <w:left w:val="single" w:sz="4" w:space="4" w:color="auto" w:shadow="1"/>
                <w:bottom w:val="single" w:sz="4" w:space="1" w:color="auto" w:shadow="1"/>
                <w:right w:val="single" w:sz="4" w:space="4" w:color="auto" w:shadow="1"/>
              </w:pBdr>
              <w:shd w:val="clear" w:color="auto" w:fill="CCCCCC"/>
              <w:ind w:left="0"/>
              <w:jc w:val="left"/>
              <w:rPr>
                <w:rFonts w:cs="Arial"/>
                <w:b/>
                <w:bCs/>
              </w:rPr>
            </w:pPr>
            <w:r>
              <w:rPr>
                <w:rFonts w:cs="Arial"/>
                <w:b/>
                <w:bCs/>
              </w:rPr>
              <w:t xml:space="preserve">Correct low concentration solutions of </w:t>
            </w:r>
            <w:proofErr w:type="spellStart"/>
            <w:r>
              <w:rPr>
                <w:rFonts w:cs="Arial"/>
                <w:b/>
                <w:bCs/>
              </w:rPr>
              <w:t>midazolam</w:t>
            </w:r>
            <w:proofErr w:type="spellEnd"/>
            <w:r>
              <w:rPr>
                <w:rFonts w:cs="Arial"/>
                <w:b/>
                <w:bCs/>
              </w:rPr>
              <w:t xml:space="preserve"> used</w:t>
            </w:r>
          </w:p>
        </w:tc>
        <w:tc>
          <w:tcPr>
            <w:tcW w:w="3504" w:type="dxa"/>
            <w:tcBorders>
              <w:top w:val="single" w:sz="4" w:space="0" w:color="auto"/>
              <w:left w:val="single" w:sz="4" w:space="0" w:color="auto"/>
              <w:bottom w:val="single" w:sz="4" w:space="0" w:color="auto"/>
              <w:right w:val="single" w:sz="4" w:space="0" w:color="auto"/>
            </w:tcBorders>
            <w:vAlign w:val="center"/>
            <w:hideMark/>
          </w:tcPr>
          <w:p w:rsidR="00BA712D" w:rsidRDefault="00BA712D" w:rsidP="00AA74D8">
            <w:pPr>
              <w:tabs>
                <w:tab w:val="center" w:pos="4153"/>
                <w:tab w:val="right" w:pos="8306"/>
              </w:tabs>
              <w:ind w:left="0"/>
              <w:jc w:val="left"/>
              <w:rPr>
                <w:rFonts w:cs="Arial"/>
                <w:bCs/>
              </w:rPr>
            </w:pPr>
            <w:r>
              <w:rPr>
                <w:rFonts w:cs="Arial"/>
                <w:bCs/>
              </w:rPr>
              <w:t xml:space="preserve">High concentration solutions of </w:t>
            </w:r>
            <w:proofErr w:type="spellStart"/>
            <w:r>
              <w:rPr>
                <w:rFonts w:cs="Arial"/>
                <w:bCs/>
              </w:rPr>
              <w:t>Midazolam</w:t>
            </w:r>
            <w:proofErr w:type="spellEnd"/>
            <w:r>
              <w:rPr>
                <w:rFonts w:cs="Arial"/>
                <w:bCs/>
              </w:rPr>
              <w:t xml:space="preserve"> are reported by NPSA to have lead to inadvertent overdose with attendant complications.</w:t>
            </w:r>
          </w:p>
        </w:tc>
        <w:tc>
          <w:tcPr>
            <w:tcW w:w="2656" w:type="dxa"/>
            <w:gridSpan w:val="3"/>
            <w:tcBorders>
              <w:top w:val="single" w:sz="4" w:space="0" w:color="auto"/>
              <w:left w:val="single" w:sz="4" w:space="0" w:color="auto"/>
              <w:bottom w:val="single" w:sz="4" w:space="0" w:color="auto"/>
              <w:right w:val="single" w:sz="4" w:space="0" w:color="auto"/>
            </w:tcBorders>
            <w:vAlign w:val="center"/>
            <w:hideMark/>
          </w:tcPr>
          <w:p w:rsidR="00BA712D" w:rsidRDefault="00BA712D" w:rsidP="00AA74D8">
            <w:pPr>
              <w:ind w:left="0"/>
              <w:jc w:val="left"/>
              <w:rPr>
                <w:rFonts w:cs="Arial"/>
              </w:rPr>
            </w:pPr>
            <w:r>
              <w:rPr>
                <w:rFonts w:cs="Arial"/>
              </w:rPr>
              <w:t xml:space="preserve">Overdose of </w:t>
            </w:r>
            <w:proofErr w:type="spellStart"/>
            <w:r>
              <w:rPr>
                <w:rFonts w:cs="Arial"/>
              </w:rPr>
              <w:t>Midazolam</w:t>
            </w:r>
            <w:proofErr w:type="spellEnd"/>
            <w:r>
              <w:rPr>
                <w:rFonts w:cs="Arial"/>
              </w:rPr>
              <w:t xml:space="preserve"> can cause complications including respiratory depression and death.</w:t>
            </w:r>
          </w:p>
        </w:tc>
      </w:tr>
      <w:tr w:rsidR="00BA712D" w:rsidTr="00BA712D">
        <w:trPr>
          <w:gridAfter w:val="2"/>
          <w:wAfter w:w="1471" w:type="dxa"/>
          <w:cantSplit/>
          <w:trHeight w:val="757"/>
        </w:trPr>
        <w:tc>
          <w:tcPr>
            <w:tcW w:w="2368" w:type="dxa"/>
            <w:tcBorders>
              <w:top w:val="single" w:sz="4" w:space="0" w:color="auto"/>
              <w:left w:val="single" w:sz="4" w:space="0" w:color="auto"/>
              <w:bottom w:val="single" w:sz="4" w:space="0" w:color="auto"/>
              <w:right w:val="single" w:sz="4" w:space="0" w:color="auto"/>
            </w:tcBorders>
            <w:vAlign w:val="center"/>
            <w:hideMark/>
          </w:tcPr>
          <w:p w:rsidR="00BA712D" w:rsidRDefault="00BA712D" w:rsidP="00AA74D8">
            <w:pPr>
              <w:spacing w:after="120"/>
              <w:ind w:left="0"/>
              <w:jc w:val="left"/>
              <w:rPr>
                <w:rFonts w:cs="Arial"/>
                <w:b/>
                <w:bCs/>
              </w:rPr>
            </w:pPr>
            <w:r>
              <w:rPr>
                <w:rFonts w:cs="Arial"/>
                <w:b/>
                <w:bCs/>
              </w:rPr>
              <w:t xml:space="preserve">Sedation Lead who works with a named Consultant </w:t>
            </w:r>
            <w:proofErr w:type="spellStart"/>
            <w:r>
              <w:rPr>
                <w:rFonts w:cs="Arial"/>
                <w:b/>
                <w:bCs/>
              </w:rPr>
              <w:t>Anaesthetist</w:t>
            </w:r>
            <w:proofErr w:type="spellEnd"/>
          </w:p>
        </w:tc>
        <w:tc>
          <w:tcPr>
            <w:tcW w:w="3504" w:type="dxa"/>
            <w:tcBorders>
              <w:top w:val="single" w:sz="4" w:space="0" w:color="auto"/>
              <w:left w:val="single" w:sz="4" w:space="0" w:color="auto"/>
              <w:bottom w:val="single" w:sz="4" w:space="0" w:color="auto"/>
              <w:right w:val="single" w:sz="4" w:space="0" w:color="auto"/>
            </w:tcBorders>
            <w:vAlign w:val="center"/>
            <w:hideMark/>
          </w:tcPr>
          <w:p w:rsidR="00BA712D" w:rsidRDefault="00BA712D" w:rsidP="00AA74D8">
            <w:pPr>
              <w:tabs>
                <w:tab w:val="center" w:pos="4153"/>
                <w:tab w:val="right" w:pos="8306"/>
              </w:tabs>
              <w:ind w:left="0"/>
              <w:jc w:val="left"/>
              <w:rPr>
                <w:rFonts w:cs="Arial"/>
                <w:bCs/>
              </w:rPr>
            </w:pPr>
            <w:r>
              <w:rPr>
                <w:rFonts w:cs="Arial"/>
                <w:bCs/>
              </w:rPr>
              <w:t>The two clinicians should develop appropriate sedation regimens and ensure training for all members of the team providing sedation</w:t>
            </w:r>
          </w:p>
        </w:tc>
        <w:tc>
          <w:tcPr>
            <w:tcW w:w="2647" w:type="dxa"/>
            <w:gridSpan w:val="2"/>
            <w:tcBorders>
              <w:top w:val="single" w:sz="4" w:space="0" w:color="auto"/>
              <w:left w:val="single" w:sz="4" w:space="0" w:color="auto"/>
              <w:bottom w:val="single" w:sz="4" w:space="0" w:color="auto"/>
              <w:right w:val="single" w:sz="4" w:space="0" w:color="auto"/>
            </w:tcBorders>
            <w:vAlign w:val="center"/>
            <w:hideMark/>
          </w:tcPr>
          <w:p w:rsidR="00BA712D" w:rsidRDefault="00BA712D" w:rsidP="00AA74D8">
            <w:pPr>
              <w:ind w:left="34" w:hanging="34"/>
              <w:jc w:val="left"/>
              <w:rPr>
                <w:rFonts w:cs="Arial"/>
              </w:rPr>
            </w:pPr>
            <w:r>
              <w:rPr>
                <w:rFonts w:cs="Arial"/>
              </w:rPr>
              <w:t>Lack of appropriate safe sedation regimens for the procedures carried out in the department that all staff are familiar with.</w:t>
            </w:r>
          </w:p>
          <w:p w:rsidR="00BA712D" w:rsidRDefault="00BA712D" w:rsidP="00AA74D8">
            <w:pPr>
              <w:ind w:left="34" w:hanging="34"/>
              <w:jc w:val="left"/>
              <w:rPr>
                <w:rFonts w:cs="Arial"/>
              </w:rPr>
            </w:pPr>
            <w:r>
              <w:rPr>
                <w:rFonts w:cs="Arial"/>
              </w:rPr>
              <w:t>Inadequate training of staff in administration of sedation and management of the complications</w:t>
            </w:r>
          </w:p>
        </w:tc>
      </w:tr>
      <w:tr w:rsidR="00BA712D" w:rsidTr="00BA712D">
        <w:trPr>
          <w:gridAfter w:val="1"/>
          <w:wAfter w:w="1462" w:type="dxa"/>
          <w:cantSplit/>
          <w:trHeight w:val="757"/>
        </w:trPr>
        <w:tc>
          <w:tcPr>
            <w:tcW w:w="2368" w:type="dxa"/>
            <w:tcBorders>
              <w:top w:val="single" w:sz="4" w:space="0" w:color="auto"/>
              <w:left w:val="single" w:sz="4" w:space="0" w:color="auto"/>
              <w:bottom w:val="single" w:sz="4" w:space="0" w:color="auto"/>
              <w:right w:val="single" w:sz="4" w:space="0" w:color="auto"/>
            </w:tcBorders>
            <w:vAlign w:val="center"/>
            <w:hideMark/>
          </w:tcPr>
          <w:p w:rsidR="00BA712D" w:rsidRDefault="00BA712D" w:rsidP="00AA74D8">
            <w:pPr>
              <w:spacing w:after="120"/>
              <w:ind w:left="0"/>
              <w:jc w:val="left"/>
              <w:rPr>
                <w:rFonts w:cs="Arial"/>
                <w:b/>
                <w:bCs/>
              </w:rPr>
            </w:pPr>
            <w:proofErr w:type="spellStart"/>
            <w:r>
              <w:rPr>
                <w:rFonts w:cs="Arial"/>
                <w:b/>
                <w:bCs/>
              </w:rPr>
              <w:t>Sedationists</w:t>
            </w:r>
            <w:proofErr w:type="spellEnd"/>
            <w:r>
              <w:rPr>
                <w:rFonts w:cs="Arial"/>
                <w:b/>
                <w:bCs/>
              </w:rPr>
              <w:t xml:space="preserve"> should have formal training in sedation and should only use defined techniques that they have received training in.</w:t>
            </w:r>
          </w:p>
        </w:tc>
        <w:tc>
          <w:tcPr>
            <w:tcW w:w="3504" w:type="dxa"/>
            <w:tcBorders>
              <w:top w:val="single" w:sz="4" w:space="0" w:color="auto"/>
              <w:left w:val="single" w:sz="4" w:space="0" w:color="auto"/>
              <w:bottom w:val="single" w:sz="4" w:space="0" w:color="auto"/>
              <w:right w:val="single" w:sz="4" w:space="0" w:color="auto"/>
            </w:tcBorders>
            <w:vAlign w:val="center"/>
          </w:tcPr>
          <w:p w:rsidR="00BA712D" w:rsidRDefault="00BA712D" w:rsidP="00AA74D8">
            <w:pPr>
              <w:tabs>
                <w:tab w:val="center" w:pos="4153"/>
                <w:tab w:val="right" w:pos="8306"/>
              </w:tabs>
              <w:ind w:left="0"/>
              <w:jc w:val="left"/>
              <w:rPr>
                <w:rFonts w:cs="Arial"/>
                <w:bCs/>
              </w:rPr>
            </w:pPr>
            <w:r>
              <w:rPr>
                <w:rFonts w:cs="Arial"/>
                <w:bCs/>
              </w:rPr>
              <w:t>Familiarity with a technique optimizes safety.</w:t>
            </w:r>
          </w:p>
          <w:p w:rsidR="00BA712D" w:rsidRDefault="00BA712D" w:rsidP="00AA74D8">
            <w:pPr>
              <w:jc w:val="left"/>
              <w:rPr>
                <w:rFonts w:cs="Arial"/>
                <w:bCs/>
              </w:rPr>
            </w:pPr>
          </w:p>
        </w:tc>
        <w:tc>
          <w:tcPr>
            <w:tcW w:w="2656" w:type="dxa"/>
            <w:gridSpan w:val="3"/>
            <w:tcBorders>
              <w:top w:val="single" w:sz="4" w:space="0" w:color="auto"/>
              <w:left w:val="single" w:sz="4" w:space="0" w:color="auto"/>
              <w:bottom w:val="single" w:sz="4" w:space="0" w:color="auto"/>
              <w:right w:val="single" w:sz="4" w:space="0" w:color="auto"/>
            </w:tcBorders>
            <w:vAlign w:val="center"/>
            <w:hideMark/>
          </w:tcPr>
          <w:p w:rsidR="00BA712D" w:rsidRDefault="00BA712D" w:rsidP="00AA74D8">
            <w:pPr>
              <w:ind w:left="34" w:hanging="34"/>
              <w:jc w:val="left"/>
              <w:rPr>
                <w:rFonts w:cs="Arial"/>
              </w:rPr>
            </w:pPr>
            <w:r>
              <w:rPr>
                <w:rFonts w:cs="Arial"/>
              </w:rPr>
              <w:t xml:space="preserve">Increased risk of complications, failure to </w:t>
            </w:r>
            <w:proofErr w:type="spellStart"/>
            <w:r>
              <w:rPr>
                <w:rFonts w:cs="Arial"/>
              </w:rPr>
              <w:t>recognise</w:t>
            </w:r>
            <w:proofErr w:type="spellEnd"/>
            <w:r>
              <w:rPr>
                <w:rFonts w:cs="Arial"/>
              </w:rPr>
              <w:t xml:space="preserve"> complications and inadequate treatment of them puts patients at risk. Clinicians failing in their professional responsibilities and makes Trust vulnerable to litigation</w:t>
            </w:r>
          </w:p>
        </w:tc>
      </w:tr>
      <w:tr w:rsidR="00BA712D" w:rsidTr="00BA712D">
        <w:trPr>
          <w:gridAfter w:val="1"/>
          <w:wAfter w:w="1462" w:type="dxa"/>
          <w:cantSplit/>
          <w:trHeight w:val="757"/>
        </w:trPr>
        <w:tc>
          <w:tcPr>
            <w:tcW w:w="2368" w:type="dxa"/>
            <w:tcBorders>
              <w:top w:val="single" w:sz="4" w:space="0" w:color="auto"/>
              <w:left w:val="single" w:sz="4" w:space="0" w:color="auto"/>
              <w:bottom w:val="single" w:sz="4" w:space="0" w:color="auto"/>
              <w:right w:val="single" w:sz="4" w:space="0" w:color="auto"/>
            </w:tcBorders>
            <w:vAlign w:val="center"/>
            <w:hideMark/>
          </w:tcPr>
          <w:p w:rsidR="00BA712D" w:rsidRDefault="00BA712D" w:rsidP="00AA74D8">
            <w:pPr>
              <w:spacing w:after="120"/>
              <w:ind w:left="0"/>
              <w:jc w:val="left"/>
              <w:rPr>
                <w:rFonts w:cs="Arial"/>
                <w:b/>
                <w:bCs/>
              </w:rPr>
            </w:pPr>
            <w:r>
              <w:rPr>
                <w:rFonts w:cs="Arial"/>
                <w:b/>
                <w:bCs/>
              </w:rPr>
              <w:t>Use of WHO Checklist</w:t>
            </w:r>
          </w:p>
        </w:tc>
        <w:tc>
          <w:tcPr>
            <w:tcW w:w="3504" w:type="dxa"/>
            <w:tcBorders>
              <w:top w:val="single" w:sz="4" w:space="0" w:color="auto"/>
              <w:left w:val="single" w:sz="4" w:space="0" w:color="auto"/>
              <w:bottom w:val="single" w:sz="4" w:space="0" w:color="auto"/>
              <w:right w:val="single" w:sz="4" w:space="0" w:color="auto"/>
            </w:tcBorders>
            <w:vAlign w:val="center"/>
            <w:hideMark/>
          </w:tcPr>
          <w:p w:rsidR="00BA712D" w:rsidRDefault="00BA712D" w:rsidP="00AA74D8">
            <w:pPr>
              <w:tabs>
                <w:tab w:val="center" w:pos="4153"/>
                <w:tab w:val="right" w:pos="8306"/>
              </w:tabs>
              <w:ind w:left="0"/>
              <w:jc w:val="left"/>
              <w:rPr>
                <w:rFonts w:cs="Arial"/>
                <w:bCs/>
              </w:rPr>
            </w:pPr>
            <w:r>
              <w:rPr>
                <w:rFonts w:cs="Arial"/>
                <w:bCs/>
              </w:rPr>
              <w:t>Because of the use of sedation can obtund patients response the use of the WHO Checklist can contribute to ensuring that the correct procedure on the correct site is carried out and the team is made aware of any patient specific concerns.</w:t>
            </w:r>
          </w:p>
        </w:tc>
        <w:tc>
          <w:tcPr>
            <w:tcW w:w="2656" w:type="dxa"/>
            <w:gridSpan w:val="3"/>
            <w:tcBorders>
              <w:top w:val="single" w:sz="4" w:space="0" w:color="auto"/>
              <w:left w:val="single" w:sz="4" w:space="0" w:color="auto"/>
              <w:bottom w:val="single" w:sz="4" w:space="0" w:color="auto"/>
              <w:right w:val="single" w:sz="4" w:space="0" w:color="auto"/>
            </w:tcBorders>
            <w:vAlign w:val="center"/>
            <w:hideMark/>
          </w:tcPr>
          <w:p w:rsidR="00BA712D" w:rsidRDefault="00BA712D" w:rsidP="00AA74D8">
            <w:pPr>
              <w:ind w:left="34" w:hanging="34"/>
              <w:jc w:val="left"/>
              <w:rPr>
                <w:rFonts w:cs="Arial"/>
              </w:rPr>
            </w:pPr>
            <w:r>
              <w:rPr>
                <w:rFonts w:cs="Arial"/>
              </w:rPr>
              <w:t>Reduced risk of incorrect procedure being performed and improved patient safety</w:t>
            </w:r>
          </w:p>
        </w:tc>
      </w:tr>
      <w:tr w:rsidR="00BA712D" w:rsidTr="00BA712D">
        <w:trPr>
          <w:gridAfter w:val="1"/>
          <w:wAfter w:w="1462" w:type="dxa"/>
          <w:cantSplit/>
          <w:trHeight w:val="757"/>
        </w:trPr>
        <w:tc>
          <w:tcPr>
            <w:tcW w:w="2368" w:type="dxa"/>
            <w:tcBorders>
              <w:top w:val="single" w:sz="4" w:space="0" w:color="auto"/>
              <w:left w:val="single" w:sz="4" w:space="0" w:color="auto"/>
              <w:bottom w:val="single" w:sz="4" w:space="0" w:color="auto"/>
              <w:right w:val="single" w:sz="4" w:space="0" w:color="auto"/>
            </w:tcBorders>
            <w:vAlign w:val="center"/>
            <w:hideMark/>
          </w:tcPr>
          <w:p w:rsidR="00BA712D" w:rsidRDefault="00BA712D" w:rsidP="00AA74D8">
            <w:pPr>
              <w:ind w:left="0"/>
              <w:jc w:val="left"/>
              <w:rPr>
                <w:rFonts w:cs="Arial"/>
                <w:b/>
                <w:bCs/>
              </w:rPr>
            </w:pPr>
            <w:r>
              <w:rPr>
                <w:b/>
              </w:rPr>
              <w:t>The levels of monitoring equipment should be defined according to agreed guidelines.</w:t>
            </w:r>
          </w:p>
        </w:tc>
        <w:tc>
          <w:tcPr>
            <w:tcW w:w="3504" w:type="dxa"/>
            <w:tcBorders>
              <w:top w:val="single" w:sz="4" w:space="0" w:color="auto"/>
              <w:left w:val="single" w:sz="4" w:space="0" w:color="auto"/>
              <w:bottom w:val="single" w:sz="4" w:space="0" w:color="auto"/>
              <w:right w:val="single" w:sz="4" w:space="0" w:color="auto"/>
            </w:tcBorders>
            <w:vAlign w:val="center"/>
          </w:tcPr>
          <w:p w:rsidR="00BA712D" w:rsidRDefault="00BA712D" w:rsidP="00AA74D8">
            <w:pPr>
              <w:tabs>
                <w:tab w:val="center" w:pos="4153"/>
                <w:tab w:val="right" w:pos="8306"/>
              </w:tabs>
              <w:ind w:left="0"/>
              <w:jc w:val="left"/>
              <w:rPr>
                <w:rFonts w:cs="Arial"/>
                <w:bCs/>
              </w:rPr>
            </w:pPr>
            <w:r>
              <w:rPr>
                <w:rFonts w:cs="Arial"/>
                <w:bCs/>
              </w:rPr>
              <w:t>Appropriate levels of monitoring are needed for different patients with varying levels of dependency.</w:t>
            </w:r>
          </w:p>
          <w:p w:rsidR="00BA712D" w:rsidRDefault="00BA712D" w:rsidP="00AA74D8">
            <w:pPr>
              <w:tabs>
                <w:tab w:val="center" w:pos="4153"/>
                <w:tab w:val="right" w:pos="8306"/>
              </w:tabs>
              <w:jc w:val="left"/>
              <w:rPr>
                <w:rFonts w:cs="Arial"/>
                <w:b/>
                <w:bCs/>
              </w:rPr>
            </w:pPr>
          </w:p>
          <w:p w:rsidR="00BA712D" w:rsidRDefault="00BA712D" w:rsidP="00AA74D8">
            <w:pPr>
              <w:jc w:val="left"/>
              <w:rPr>
                <w:rFonts w:cs="Arial"/>
                <w:bCs/>
              </w:rPr>
            </w:pPr>
          </w:p>
        </w:tc>
        <w:tc>
          <w:tcPr>
            <w:tcW w:w="2656" w:type="dxa"/>
            <w:gridSpan w:val="3"/>
            <w:tcBorders>
              <w:top w:val="single" w:sz="4" w:space="0" w:color="auto"/>
              <w:left w:val="single" w:sz="4" w:space="0" w:color="auto"/>
              <w:bottom w:val="single" w:sz="4" w:space="0" w:color="auto"/>
              <w:right w:val="single" w:sz="4" w:space="0" w:color="auto"/>
            </w:tcBorders>
            <w:vAlign w:val="center"/>
            <w:hideMark/>
          </w:tcPr>
          <w:p w:rsidR="00BA712D" w:rsidRDefault="00BA712D" w:rsidP="00AA74D8">
            <w:pPr>
              <w:ind w:left="0"/>
              <w:jc w:val="left"/>
              <w:rPr>
                <w:rFonts w:cs="Arial"/>
              </w:rPr>
            </w:pPr>
            <w:r>
              <w:rPr>
                <w:rFonts w:cs="Arial"/>
              </w:rPr>
              <w:t xml:space="preserve">Risk of failure to </w:t>
            </w:r>
            <w:proofErr w:type="spellStart"/>
            <w:r>
              <w:rPr>
                <w:rFonts w:cs="Arial"/>
              </w:rPr>
              <w:t>recognise</w:t>
            </w:r>
            <w:proofErr w:type="spellEnd"/>
            <w:r>
              <w:rPr>
                <w:rFonts w:cs="Arial"/>
              </w:rPr>
              <w:t xml:space="preserve"> complications of sedation technique.</w:t>
            </w:r>
          </w:p>
        </w:tc>
      </w:tr>
      <w:tr w:rsidR="007C6CD4" w:rsidTr="00BA712D">
        <w:trPr>
          <w:cantSplit/>
          <w:trHeight w:val="757"/>
        </w:trPr>
        <w:tc>
          <w:tcPr>
            <w:tcW w:w="2368" w:type="dxa"/>
            <w:tcBorders>
              <w:top w:val="single" w:sz="4" w:space="0" w:color="auto"/>
              <w:left w:val="single" w:sz="4" w:space="0" w:color="auto"/>
              <w:bottom w:val="single" w:sz="4" w:space="0" w:color="auto"/>
              <w:right w:val="single" w:sz="4" w:space="0" w:color="auto"/>
            </w:tcBorders>
            <w:vAlign w:val="center"/>
            <w:hideMark/>
          </w:tcPr>
          <w:p w:rsidR="007C6CD4" w:rsidRDefault="007C6CD4" w:rsidP="00AA74D8">
            <w:pPr>
              <w:ind w:left="0"/>
              <w:jc w:val="left"/>
              <w:rPr>
                <w:rFonts w:cs="Arial"/>
                <w:b/>
                <w:iCs/>
              </w:rPr>
            </w:pPr>
            <w:r>
              <w:rPr>
                <w:rFonts w:cs="Arial"/>
                <w:b/>
                <w:iCs/>
              </w:rPr>
              <w:lastRenderedPageBreak/>
              <w:t>Functioning resuscita</w:t>
            </w:r>
            <w:r w:rsidR="00B211D1">
              <w:rPr>
                <w:rFonts w:cs="Arial"/>
                <w:b/>
                <w:iCs/>
              </w:rPr>
              <w:t>tion equipment, tilting dental chair should</w:t>
            </w:r>
            <w:r>
              <w:rPr>
                <w:rFonts w:cs="Arial"/>
                <w:b/>
                <w:iCs/>
              </w:rPr>
              <w:t xml:space="preserve"> be available in treatment and recovery areas whenever sedation techniques are used.</w:t>
            </w:r>
          </w:p>
        </w:tc>
        <w:tc>
          <w:tcPr>
            <w:tcW w:w="3504" w:type="dxa"/>
            <w:tcBorders>
              <w:top w:val="single" w:sz="4" w:space="0" w:color="auto"/>
              <w:left w:val="single" w:sz="4" w:space="0" w:color="auto"/>
              <w:bottom w:val="single" w:sz="4" w:space="0" w:color="auto"/>
              <w:right w:val="single" w:sz="4" w:space="0" w:color="auto"/>
            </w:tcBorders>
            <w:vAlign w:val="center"/>
            <w:hideMark/>
          </w:tcPr>
          <w:p w:rsidR="007C6CD4" w:rsidRDefault="007C6CD4" w:rsidP="00AA74D8">
            <w:pPr>
              <w:tabs>
                <w:tab w:val="center" w:pos="4153"/>
                <w:tab w:val="right" w:pos="8306"/>
              </w:tabs>
              <w:ind w:left="0"/>
              <w:jc w:val="left"/>
              <w:rPr>
                <w:rFonts w:cs="Arial"/>
              </w:rPr>
            </w:pPr>
            <w:r>
              <w:rPr>
                <w:rFonts w:cs="Arial"/>
              </w:rPr>
              <w:t>Resuscitation may be required at any time during or after a sedative technique is used.</w:t>
            </w:r>
          </w:p>
        </w:tc>
        <w:tc>
          <w:tcPr>
            <w:tcW w:w="1462" w:type="dxa"/>
            <w:tcBorders>
              <w:top w:val="single" w:sz="4" w:space="0" w:color="auto"/>
              <w:left w:val="single" w:sz="4" w:space="0" w:color="auto"/>
              <w:bottom w:val="single" w:sz="4" w:space="0" w:color="auto"/>
              <w:right w:val="single" w:sz="4" w:space="0" w:color="auto"/>
            </w:tcBorders>
            <w:vAlign w:val="center"/>
          </w:tcPr>
          <w:p w:rsidR="007C6CD4" w:rsidRDefault="007C6CD4" w:rsidP="00AA74D8">
            <w:pPr>
              <w:jc w:val="left"/>
              <w:rPr>
                <w:rFonts w:cs="Arial"/>
                <w:b/>
              </w:rPr>
            </w:pPr>
          </w:p>
        </w:tc>
        <w:tc>
          <w:tcPr>
            <w:tcW w:w="2656" w:type="dxa"/>
            <w:gridSpan w:val="3"/>
            <w:tcBorders>
              <w:top w:val="single" w:sz="4" w:space="0" w:color="auto"/>
              <w:left w:val="single" w:sz="4" w:space="0" w:color="auto"/>
              <w:bottom w:val="single" w:sz="4" w:space="0" w:color="auto"/>
              <w:right w:val="single" w:sz="4" w:space="0" w:color="auto"/>
            </w:tcBorders>
            <w:vAlign w:val="center"/>
            <w:hideMark/>
          </w:tcPr>
          <w:p w:rsidR="007C6CD4" w:rsidRDefault="007C6CD4" w:rsidP="00AA74D8">
            <w:pPr>
              <w:ind w:left="0"/>
              <w:jc w:val="left"/>
              <w:rPr>
                <w:rFonts w:cs="Arial"/>
              </w:rPr>
            </w:pPr>
            <w:r>
              <w:rPr>
                <w:rFonts w:cs="Arial"/>
              </w:rPr>
              <w:t xml:space="preserve">Inadequate treatment of complications of sedation cause worse outcomes. </w:t>
            </w:r>
          </w:p>
        </w:tc>
      </w:tr>
    </w:tbl>
    <w:p w:rsidR="007C6CD4" w:rsidRDefault="007C6CD4" w:rsidP="00B211D1">
      <w:r>
        <w:t>.</w:t>
      </w:r>
    </w:p>
    <w:p w:rsidR="007C6CD4" w:rsidRDefault="007C6CD4" w:rsidP="007C6CD4"/>
    <w:p w:rsidR="007C6CD4" w:rsidRDefault="007C6CD4" w:rsidP="007C6CD4">
      <w:pPr>
        <w:pStyle w:val="Heading1"/>
        <w:numPr>
          <w:ilvl w:val="0"/>
          <w:numId w:val="4"/>
        </w:numPr>
      </w:pPr>
      <w:bookmarkStart w:id="22" w:name="_Toc315243030"/>
      <w:bookmarkStart w:id="23" w:name="_Toc315242882"/>
      <w:bookmarkStart w:id="24" w:name="_Toc315242626"/>
      <w:bookmarkStart w:id="25" w:name="_Toc315242551"/>
      <w:r>
        <w:t>T</w:t>
      </w:r>
      <w:bookmarkEnd w:id="22"/>
      <w:bookmarkEnd w:id="23"/>
      <w:bookmarkEnd w:id="24"/>
      <w:bookmarkEnd w:id="25"/>
      <w:r w:rsidR="00B211D1">
        <w:t>raining requirements</w:t>
      </w:r>
    </w:p>
    <w:p w:rsidR="007C6CD4" w:rsidRDefault="007C6CD4" w:rsidP="007C6CD4">
      <w:pPr>
        <w:ind w:left="357"/>
        <w:rPr>
          <w:rFonts w:cs="Arial"/>
        </w:rPr>
      </w:pPr>
      <w:r>
        <w:rPr>
          <w:rFonts w:cs="Arial"/>
        </w:rPr>
        <w:t xml:space="preserve">All members of the team involved providing sedation need to have knowledge of sedation techniques and be aware of their role in the event of serious complications. Those members of the team who are </w:t>
      </w:r>
      <w:proofErr w:type="spellStart"/>
      <w:r>
        <w:rPr>
          <w:rFonts w:cs="Arial"/>
        </w:rPr>
        <w:t>sedationists</w:t>
      </w:r>
      <w:proofErr w:type="spellEnd"/>
      <w:r>
        <w:rPr>
          <w:rFonts w:cs="Arial"/>
        </w:rPr>
        <w:t xml:space="preserve"> need further training in the provision, monitoring and treatment of the complications of conscious sedation.</w:t>
      </w:r>
    </w:p>
    <w:p w:rsidR="007C6CD4" w:rsidRDefault="007C6CD4" w:rsidP="007C6CD4">
      <w:pPr>
        <w:ind w:left="357"/>
        <w:rPr>
          <w:rFonts w:cs="Arial"/>
          <w:i/>
        </w:rPr>
      </w:pPr>
    </w:p>
    <w:p w:rsidR="007C6CD4" w:rsidRDefault="007C6CD4" w:rsidP="007C6CD4">
      <w:pPr>
        <w:ind w:left="357"/>
        <w:rPr>
          <w:rFonts w:cs="Arial"/>
          <w:i/>
        </w:rPr>
      </w:pPr>
      <w:r>
        <w:rPr>
          <w:rFonts w:cs="Arial"/>
          <w:i/>
        </w:rPr>
        <w:t>What will that training comprise?</w:t>
      </w:r>
    </w:p>
    <w:p w:rsidR="007C6CD4" w:rsidRDefault="007C6CD4" w:rsidP="007C6CD4">
      <w:pPr>
        <w:ind w:left="357"/>
        <w:rPr>
          <w:rFonts w:cs="Arial"/>
          <w:i/>
        </w:rPr>
      </w:pPr>
    </w:p>
    <w:p w:rsidR="007C6CD4" w:rsidRDefault="007C6CD4" w:rsidP="007C6CD4">
      <w:pPr>
        <w:numPr>
          <w:ilvl w:val="0"/>
          <w:numId w:val="10"/>
        </w:numPr>
        <w:ind w:left="357" w:firstLine="0"/>
        <w:rPr>
          <w:rFonts w:cs="Arial"/>
        </w:rPr>
      </w:pPr>
      <w:r>
        <w:rPr>
          <w:rFonts w:cs="Arial"/>
        </w:rPr>
        <w:t>Background to local and national regulations</w:t>
      </w:r>
    </w:p>
    <w:p w:rsidR="007C6CD4" w:rsidRDefault="007C6CD4" w:rsidP="007C6CD4">
      <w:pPr>
        <w:numPr>
          <w:ilvl w:val="0"/>
          <w:numId w:val="10"/>
        </w:numPr>
        <w:ind w:left="357" w:firstLine="0"/>
        <w:rPr>
          <w:rFonts w:cs="Arial"/>
        </w:rPr>
      </w:pPr>
      <w:r>
        <w:rPr>
          <w:rFonts w:cs="Arial"/>
        </w:rPr>
        <w:t>Assessment of patients</w:t>
      </w:r>
    </w:p>
    <w:p w:rsidR="007C6CD4" w:rsidRDefault="007C6CD4" w:rsidP="007C6CD4">
      <w:pPr>
        <w:numPr>
          <w:ilvl w:val="0"/>
          <w:numId w:val="10"/>
        </w:numPr>
        <w:ind w:left="357" w:firstLine="0"/>
        <w:rPr>
          <w:rFonts w:cs="Arial"/>
        </w:rPr>
      </w:pPr>
      <w:r>
        <w:rPr>
          <w:rFonts w:cs="Arial"/>
        </w:rPr>
        <w:t>Cardio-respiratory and neurological physiology</w:t>
      </w:r>
    </w:p>
    <w:p w:rsidR="007C6CD4" w:rsidRDefault="007C6CD4" w:rsidP="007C6CD4">
      <w:pPr>
        <w:numPr>
          <w:ilvl w:val="0"/>
          <w:numId w:val="10"/>
        </w:numPr>
        <w:ind w:left="357" w:firstLine="0"/>
        <w:rPr>
          <w:rFonts w:cs="Arial"/>
        </w:rPr>
      </w:pPr>
      <w:r>
        <w:rPr>
          <w:rFonts w:cs="Arial"/>
        </w:rPr>
        <w:t>Clinical pharmacology</w:t>
      </w:r>
    </w:p>
    <w:p w:rsidR="007C6CD4" w:rsidRDefault="007C6CD4" w:rsidP="007C6CD4">
      <w:pPr>
        <w:numPr>
          <w:ilvl w:val="0"/>
          <w:numId w:val="10"/>
        </w:numPr>
        <w:ind w:left="357" w:firstLine="0"/>
        <w:rPr>
          <w:rFonts w:cs="Arial"/>
        </w:rPr>
      </w:pPr>
      <w:r>
        <w:rPr>
          <w:rFonts w:cs="Arial"/>
        </w:rPr>
        <w:t>Applied Anatomy</w:t>
      </w:r>
    </w:p>
    <w:p w:rsidR="007C6CD4" w:rsidRDefault="007C6CD4" w:rsidP="007C6CD4">
      <w:pPr>
        <w:numPr>
          <w:ilvl w:val="0"/>
          <w:numId w:val="10"/>
        </w:numPr>
        <w:ind w:left="357" w:firstLine="0"/>
        <w:rPr>
          <w:rFonts w:cs="Arial"/>
        </w:rPr>
      </w:pPr>
      <w:proofErr w:type="spellStart"/>
      <w:r>
        <w:rPr>
          <w:rFonts w:cs="Arial"/>
        </w:rPr>
        <w:t>Cannulation</w:t>
      </w:r>
      <w:proofErr w:type="spellEnd"/>
      <w:r>
        <w:rPr>
          <w:rFonts w:cs="Arial"/>
        </w:rPr>
        <w:t xml:space="preserve"> skills</w:t>
      </w:r>
    </w:p>
    <w:p w:rsidR="007C6CD4" w:rsidRDefault="007C6CD4" w:rsidP="007C6CD4">
      <w:pPr>
        <w:numPr>
          <w:ilvl w:val="0"/>
          <w:numId w:val="10"/>
        </w:numPr>
        <w:ind w:left="357" w:firstLine="0"/>
        <w:rPr>
          <w:rFonts w:cs="Arial"/>
        </w:rPr>
      </w:pPr>
      <w:r>
        <w:rPr>
          <w:rFonts w:cs="Arial"/>
        </w:rPr>
        <w:t>Airway management skills</w:t>
      </w:r>
    </w:p>
    <w:p w:rsidR="007C6CD4" w:rsidRDefault="007C6CD4" w:rsidP="007C6CD4">
      <w:pPr>
        <w:numPr>
          <w:ilvl w:val="0"/>
          <w:numId w:val="10"/>
        </w:numPr>
        <w:ind w:left="357" w:firstLine="0"/>
        <w:rPr>
          <w:rFonts w:cs="Arial"/>
        </w:rPr>
      </w:pPr>
      <w:r>
        <w:rPr>
          <w:rFonts w:cs="Arial"/>
        </w:rPr>
        <w:t>Function and limitations of monitoring equipment</w:t>
      </w:r>
    </w:p>
    <w:p w:rsidR="007C6CD4" w:rsidRPr="00B211D1" w:rsidRDefault="007C6CD4" w:rsidP="00B211D1">
      <w:pPr>
        <w:numPr>
          <w:ilvl w:val="0"/>
          <w:numId w:val="10"/>
        </w:numPr>
        <w:ind w:left="357" w:firstLine="0"/>
        <w:rPr>
          <w:rFonts w:cs="Arial"/>
        </w:rPr>
      </w:pPr>
      <w:r>
        <w:rPr>
          <w:rFonts w:cs="Arial"/>
        </w:rPr>
        <w:t>Basic and advanced life support</w:t>
      </w:r>
      <w:bookmarkStart w:id="26" w:name="_Toc315243031"/>
      <w:bookmarkStart w:id="27" w:name="_Toc315242883"/>
      <w:bookmarkStart w:id="28" w:name="_Toc315242627"/>
      <w:bookmarkStart w:id="29" w:name="_Toc315242552"/>
    </w:p>
    <w:p w:rsidR="007C6CD4" w:rsidRDefault="007C6CD4" w:rsidP="007C6CD4"/>
    <w:p w:rsidR="007C6CD4" w:rsidRDefault="007C6CD4" w:rsidP="007C6CD4">
      <w:pPr>
        <w:pStyle w:val="Heading1"/>
        <w:numPr>
          <w:ilvl w:val="0"/>
          <w:numId w:val="4"/>
        </w:numPr>
      </w:pPr>
      <w:r>
        <w:t>R</w:t>
      </w:r>
      <w:bookmarkEnd w:id="26"/>
      <w:bookmarkEnd w:id="27"/>
      <w:bookmarkEnd w:id="28"/>
      <w:bookmarkEnd w:id="29"/>
      <w:r w:rsidR="00B211D1">
        <w:t>eferences and associated documentation</w:t>
      </w:r>
    </w:p>
    <w:p w:rsidR="007C6CD4" w:rsidRDefault="007C6CD4" w:rsidP="007C6CD4"/>
    <w:p w:rsidR="007C6CD4" w:rsidRDefault="007C6CD4" w:rsidP="007C6CD4">
      <w:proofErr w:type="gramStart"/>
      <w:r>
        <w:t>1.</w:t>
      </w:r>
      <w:r>
        <w:tab/>
        <w:t>WHO</w:t>
      </w:r>
      <w:proofErr w:type="gramEnd"/>
      <w:r>
        <w:t xml:space="preserve"> Surgical Safety Checklist. </w:t>
      </w:r>
      <w:proofErr w:type="gramStart"/>
      <w:r>
        <w:t>NPSA January 2009.</w:t>
      </w:r>
      <w:proofErr w:type="gramEnd"/>
    </w:p>
    <w:p w:rsidR="007C6CD4" w:rsidRDefault="007C6CD4" w:rsidP="007C6CD4">
      <w:r>
        <w:t>2.</w:t>
      </w:r>
      <w:r>
        <w:tab/>
        <w:t xml:space="preserve">Rapid Response Report RRR011.-Reducing the risk of overdose with </w:t>
      </w:r>
      <w:proofErr w:type="spellStart"/>
      <w:r>
        <w:t>Midazolam</w:t>
      </w:r>
      <w:proofErr w:type="spellEnd"/>
      <w:r>
        <w:t xml:space="preserve"> injection in adults. </w:t>
      </w:r>
      <w:proofErr w:type="gramStart"/>
      <w:r>
        <w:t>NPSA December 2008.</w:t>
      </w:r>
      <w:proofErr w:type="gramEnd"/>
    </w:p>
    <w:p w:rsidR="007C6CD4" w:rsidRDefault="00787648" w:rsidP="007C6CD4">
      <w:r>
        <w:t>3</w:t>
      </w:r>
      <w:r w:rsidR="007C6CD4">
        <w:t>.</w:t>
      </w:r>
      <w:r w:rsidR="007C6CD4">
        <w:tab/>
        <w:t>Academy of Medical Royal Colleges - Safe Sedation Practice for Healthcare Procedures: Standards and Guidelines. October 2013</w:t>
      </w:r>
    </w:p>
    <w:p w:rsidR="00787648" w:rsidRDefault="00787648" w:rsidP="007C6CD4">
      <w:r>
        <w:t>4. IACSD 2015 IS THE AGREED NATIONAL STANDARD</w:t>
      </w:r>
    </w:p>
    <w:p w:rsidR="007C6CD4" w:rsidRDefault="007C6CD4" w:rsidP="007C6CD4"/>
    <w:p w:rsidR="007C6CD4" w:rsidRDefault="007C6CD4" w:rsidP="007C6CD4"/>
    <w:p w:rsidR="007C6CD4" w:rsidRDefault="007C6CD4" w:rsidP="007C6CD4"/>
    <w:p w:rsidR="007C6CD4" w:rsidRDefault="007C6CD4" w:rsidP="007C6CD4">
      <w:pPr>
        <w:ind w:left="0"/>
        <w:jc w:val="left"/>
        <w:sectPr w:rsidR="007C6CD4">
          <w:headerReference w:type="default" r:id="rId8"/>
          <w:footerReference w:type="default" r:id="rId9"/>
          <w:pgSz w:w="11907" w:h="16840"/>
          <w:pgMar w:top="851" w:right="907" w:bottom="992" w:left="1134" w:header="709" w:footer="425" w:gutter="0"/>
          <w:cols w:space="720"/>
        </w:sectPr>
      </w:pPr>
    </w:p>
    <w:bookmarkEnd w:id="9"/>
    <w:p w:rsidR="007C6CD4" w:rsidRDefault="007C6CD4" w:rsidP="00B211D1">
      <w:pPr>
        <w:ind w:left="0"/>
        <w:rPr>
          <w:rFonts w:cs="Arial"/>
        </w:rPr>
      </w:pPr>
    </w:p>
    <w:sectPr w:rsidR="007C6CD4" w:rsidSect="00AF6CA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D29" w:rsidRDefault="00FF2D29" w:rsidP="007C6CD4">
      <w:r>
        <w:separator/>
      </w:r>
    </w:p>
  </w:endnote>
  <w:endnote w:type="continuationSeparator" w:id="0">
    <w:p w:rsidR="00FF2D29" w:rsidRDefault="00FF2D29" w:rsidP="007C6C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2D" w:rsidRPr="00BA712D" w:rsidRDefault="00BA712D">
    <w:pPr>
      <w:pStyle w:val="Footer"/>
      <w:rPr>
        <w:b/>
      </w:rPr>
    </w:pPr>
    <w:r w:rsidRPr="00BA712D">
      <w:rPr>
        <w:b/>
      </w:rPr>
      <w:t>Revised June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CD4" w:rsidRDefault="007C6CD4">
    <w:pPr>
      <w:pStyle w:val="Footer"/>
    </w:pPr>
    <w:r>
      <w:t>Revised June 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D29" w:rsidRDefault="00FF2D29" w:rsidP="007C6CD4">
      <w:r>
        <w:separator/>
      </w:r>
    </w:p>
  </w:footnote>
  <w:footnote w:type="continuationSeparator" w:id="0">
    <w:p w:rsidR="00FF2D29" w:rsidRDefault="00FF2D29" w:rsidP="007C6C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2D" w:rsidRPr="00BA712D" w:rsidRDefault="00BA712D" w:rsidP="00BA712D">
    <w:pPr>
      <w:pStyle w:val="Header"/>
      <w:jc w:val="center"/>
      <w:rPr>
        <w:b/>
        <w:sz w:val="24"/>
        <w:szCs w:val="24"/>
      </w:rPr>
    </w:pPr>
    <w:r w:rsidRPr="00BA712D">
      <w:rPr>
        <w:b/>
        <w:sz w:val="24"/>
        <w:szCs w:val="24"/>
      </w:rPr>
      <w:t>The Ropewalk Dental Suite and IMOS Services- Sedation guidelines and Policy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CD4" w:rsidRPr="007C6CD4" w:rsidRDefault="007C6CD4" w:rsidP="007C6CD4">
    <w:pPr>
      <w:pStyle w:val="Header"/>
      <w:jc w:val="center"/>
      <w:rPr>
        <w:b/>
        <w:sz w:val="24"/>
        <w:szCs w:val="24"/>
      </w:rPr>
    </w:pPr>
    <w:r w:rsidRPr="007C6CD4">
      <w:rPr>
        <w:b/>
        <w:sz w:val="24"/>
        <w:szCs w:val="24"/>
      </w:rPr>
      <w:t>The Ropewalk Dental Suite and IMOS Services- Sedation guidelines and Policy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369B5"/>
    <w:multiLevelType w:val="hybridMultilevel"/>
    <w:tmpl w:val="01A6B4E6"/>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1">
    <w:nsid w:val="155A5F3F"/>
    <w:multiLevelType w:val="hybridMultilevel"/>
    <w:tmpl w:val="578E4162"/>
    <w:lvl w:ilvl="0" w:tplc="08090005">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1DEA550E"/>
    <w:multiLevelType w:val="singleLevel"/>
    <w:tmpl w:val="EB76B2CC"/>
    <w:lvl w:ilvl="0">
      <w:start w:val="1"/>
      <w:numFmt w:val="bullet"/>
      <w:lvlText w:val=""/>
      <w:lvlJc w:val="left"/>
      <w:pPr>
        <w:tabs>
          <w:tab w:val="num" w:pos="360"/>
        </w:tabs>
        <w:ind w:left="360" w:hanging="360"/>
      </w:pPr>
      <w:rPr>
        <w:rFonts w:ascii="Symbol" w:hAnsi="Symbol" w:hint="default"/>
        <w:color w:val="auto"/>
        <w:sz w:val="20"/>
      </w:rPr>
    </w:lvl>
  </w:abstractNum>
  <w:abstractNum w:abstractNumId="3">
    <w:nsid w:val="3BE322D4"/>
    <w:multiLevelType w:val="hybridMultilevel"/>
    <w:tmpl w:val="78247436"/>
    <w:lvl w:ilvl="0" w:tplc="BC8820B8">
      <w:start w:val="1"/>
      <w:numFmt w:val="decimal"/>
      <w:lvlText w:val="%1."/>
      <w:lvlJc w:val="left"/>
      <w:pPr>
        <w:tabs>
          <w:tab w:val="num" w:pos="540"/>
        </w:tabs>
        <w:ind w:left="540" w:hanging="360"/>
      </w:pPr>
    </w:lvl>
    <w:lvl w:ilvl="1" w:tplc="08090019">
      <w:start w:val="1"/>
      <w:numFmt w:val="lowerLetter"/>
      <w:lvlText w:val="%2."/>
      <w:lvlJc w:val="left"/>
      <w:pPr>
        <w:tabs>
          <w:tab w:val="num" w:pos="1250"/>
        </w:tabs>
        <w:ind w:left="125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3D145A70"/>
    <w:multiLevelType w:val="multilevel"/>
    <w:tmpl w:val="D19CF512"/>
    <w:lvl w:ilvl="0">
      <w:start w:val="1"/>
      <w:numFmt w:val="decimal"/>
      <w:pStyle w:val="Heading1"/>
      <w:lvlText w:val="%1."/>
      <w:lvlJc w:val="left"/>
      <w:pPr>
        <w:tabs>
          <w:tab w:val="num" w:pos="567"/>
        </w:tabs>
        <w:ind w:left="567" w:hanging="397"/>
      </w:pPr>
    </w:lvl>
    <w:lvl w:ilvl="1">
      <w:start w:val="1"/>
      <w:numFmt w:val="decimal"/>
      <w:pStyle w:val="Heading2"/>
      <w:lvlText w:val="%1.%2."/>
      <w:lvlJc w:val="left"/>
      <w:pPr>
        <w:tabs>
          <w:tab w:val="num" w:pos="3119"/>
        </w:tabs>
        <w:ind w:left="3119" w:hanging="567"/>
      </w:pPr>
    </w:lvl>
    <w:lvl w:ilvl="2">
      <w:start w:val="1"/>
      <w:numFmt w:val="decimal"/>
      <w:lvlText w:val="%1.%2.%3."/>
      <w:lvlJc w:val="left"/>
      <w:pPr>
        <w:tabs>
          <w:tab w:val="num" w:pos="2556"/>
        </w:tabs>
        <w:ind w:left="2340" w:hanging="504"/>
      </w:pPr>
    </w:lvl>
    <w:lvl w:ilvl="3">
      <w:start w:val="1"/>
      <w:numFmt w:val="decimal"/>
      <w:lvlText w:val="%1.%2.%3.%4."/>
      <w:lvlJc w:val="left"/>
      <w:pPr>
        <w:tabs>
          <w:tab w:val="num" w:pos="3276"/>
        </w:tabs>
        <w:ind w:left="2844" w:hanging="648"/>
      </w:pPr>
    </w:lvl>
    <w:lvl w:ilvl="4">
      <w:start w:val="1"/>
      <w:numFmt w:val="decimal"/>
      <w:lvlText w:val="%1.%2.%3.%4.%5."/>
      <w:lvlJc w:val="left"/>
      <w:pPr>
        <w:tabs>
          <w:tab w:val="num" w:pos="3636"/>
        </w:tabs>
        <w:ind w:left="3348" w:hanging="792"/>
      </w:pPr>
    </w:lvl>
    <w:lvl w:ilvl="5">
      <w:start w:val="1"/>
      <w:numFmt w:val="decimal"/>
      <w:lvlText w:val="%1.%2.%3.%4.%5.%6."/>
      <w:lvlJc w:val="left"/>
      <w:pPr>
        <w:tabs>
          <w:tab w:val="num" w:pos="4356"/>
        </w:tabs>
        <w:ind w:left="3852" w:hanging="936"/>
      </w:pPr>
    </w:lvl>
    <w:lvl w:ilvl="6">
      <w:start w:val="1"/>
      <w:numFmt w:val="decimal"/>
      <w:lvlText w:val="%1.%2.%3.%4.%5.%6.%7."/>
      <w:lvlJc w:val="left"/>
      <w:pPr>
        <w:tabs>
          <w:tab w:val="num" w:pos="4716"/>
        </w:tabs>
        <w:ind w:left="4356" w:hanging="1080"/>
      </w:pPr>
    </w:lvl>
    <w:lvl w:ilvl="7">
      <w:start w:val="1"/>
      <w:numFmt w:val="decimal"/>
      <w:lvlText w:val="%1.%2.%3.%4.%5.%6.%7.%8."/>
      <w:lvlJc w:val="left"/>
      <w:pPr>
        <w:tabs>
          <w:tab w:val="num" w:pos="5436"/>
        </w:tabs>
        <w:ind w:left="4860" w:hanging="1224"/>
      </w:pPr>
    </w:lvl>
    <w:lvl w:ilvl="8">
      <w:start w:val="1"/>
      <w:numFmt w:val="decimal"/>
      <w:lvlText w:val="%1.%2.%3.%4.%5.%6.%7.%8.%9."/>
      <w:lvlJc w:val="left"/>
      <w:pPr>
        <w:tabs>
          <w:tab w:val="num" w:pos="5796"/>
        </w:tabs>
        <w:ind w:left="5436" w:hanging="1440"/>
      </w:pPr>
    </w:lvl>
  </w:abstractNum>
  <w:abstractNum w:abstractNumId="5">
    <w:nsid w:val="404F46E1"/>
    <w:multiLevelType w:val="hybridMultilevel"/>
    <w:tmpl w:val="D626F444"/>
    <w:lvl w:ilvl="0" w:tplc="08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4B40280"/>
    <w:multiLevelType w:val="hybridMultilevel"/>
    <w:tmpl w:val="36E2DC0C"/>
    <w:lvl w:ilvl="0" w:tplc="0809000B">
      <w:start w:val="1"/>
      <w:numFmt w:val="bullet"/>
      <w:lvlText w:val=""/>
      <w:lvlJc w:val="left"/>
      <w:pPr>
        <w:ind w:left="1410" w:hanging="360"/>
      </w:pPr>
      <w:rPr>
        <w:rFonts w:ascii="Wingdings" w:hAnsi="Wingdings"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7">
    <w:nsid w:val="52D61B97"/>
    <w:multiLevelType w:val="singleLevel"/>
    <w:tmpl w:val="EB76B2CC"/>
    <w:lvl w:ilvl="0">
      <w:start w:val="1"/>
      <w:numFmt w:val="bullet"/>
      <w:lvlText w:val=""/>
      <w:lvlJc w:val="left"/>
      <w:pPr>
        <w:tabs>
          <w:tab w:val="num" w:pos="360"/>
        </w:tabs>
        <w:ind w:left="360" w:hanging="360"/>
      </w:pPr>
      <w:rPr>
        <w:rFonts w:ascii="Symbol" w:hAnsi="Symbol" w:hint="default"/>
        <w:color w:val="auto"/>
        <w:sz w:val="20"/>
      </w:rPr>
    </w:lvl>
  </w:abstractNum>
  <w:abstractNum w:abstractNumId="8">
    <w:nsid w:val="63A73863"/>
    <w:multiLevelType w:val="singleLevel"/>
    <w:tmpl w:val="F58A3860"/>
    <w:lvl w:ilvl="0">
      <w:start w:val="1"/>
      <w:numFmt w:val="lowerRoman"/>
      <w:lvlText w:val="%1."/>
      <w:lvlJc w:val="left"/>
      <w:pPr>
        <w:tabs>
          <w:tab w:val="num" w:pos="357"/>
        </w:tabs>
        <w:ind w:left="357" w:hanging="357"/>
      </w:pPr>
      <w:rPr>
        <w:b w:val="0"/>
        <w:i/>
      </w:rPr>
    </w:lvl>
  </w:abstractNum>
  <w:abstractNum w:abstractNumId="9">
    <w:nsid w:val="67EC2387"/>
    <w:multiLevelType w:val="hybridMultilevel"/>
    <w:tmpl w:val="4CDA9E66"/>
    <w:lvl w:ilvl="0" w:tplc="08090005">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6D260ACE"/>
    <w:multiLevelType w:val="multilevel"/>
    <w:tmpl w:val="78E44278"/>
    <w:lvl w:ilvl="0">
      <w:start w:val="1"/>
      <w:numFmt w:val="bullet"/>
      <w:lvlText w:val=""/>
      <w:lvlJc w:val="left"/>
      <w:pPr>
        <w:tabs>
          <w:tab w:val="num" w:pos="530"/>
        </w:tabs>
        <w:ind w:left="530" w:hanging="360"/>
      </w:pPr>
      <w:rPr>
        <w:rFonts w:ascii="Wingdings" w:hAnsi="Wingdings" w:hint="default"/>
      </w:rPr>
    </w:lvl>
    <w:lvl w:ilvl="1">
      <w:start w:val="1"/>
      <w:numFmt w:val="decimal"/>
      <w:lvlText w:val="%1.%2."/>
      <w:lvlJc w:val="left"/>
      <w:pPr>
        <w:tabs>
          <w:tab w:val="num" w:pos="1134"/>
        </w:tabs>
        <w:ind w:left="1134" w:hanging="567"/>
      </w:pPr>
    </w:lvl>
    <w:lvl w:ilvl="2">
      <w:start w:val="1"/>
      <w:numFmt w:val="decimal"/>
      <w:lvlText w:val="%1.%2.%3."/>
      <w:lvlJc w:val="left"/>
      <w:pPr>
        <w:tabs>
          <w:tab w:val="num" w:pos="2556"/>
        </w:tabs>
        <w:ind w:left="2340" w:hanging="504"/>
      </w:pPr>
    </w:lvl>
    <w:lvl w:ilvl="3">
      <w:start w:val="1"/>
      <w:numFmt w:val="decimal"/>
      <w:lvlText w:val="%1.%2.%3.%4."/>
      <w:lvlJc w:val="left"/>
      <w:pPr>
        <w:tabs>
          <w:tab w:val="num" w:pos="3276"/>
        </w:tabs>
        <w:ind w:left="2844" w:hanging="648"/>
      </w:pPr>
    </w:lvl>
    <w:lvl w:ilvl="4">
      <w:start w:val="1"/>
      <w:numFmt w:val="decimal"/>
      <w:lvlText w:val="%1.%2.%3.%4.%5."/>
      <w:lvlJc w:val="left"/>
      <w:pPr>
        <w:tabs>
          <w:tab w:val="num" w:pos="3636"/>
        </w:tabs>
        <w:ind w:left="3348" w:hanging="792"/>
      </w:pPr>
    </w:lvl>
    <w:lvl w:ilvl="5">
      <w:start w:val="1"/>
      <w:numFmt w:val="decimal"/>
      <w:lvlText w:val="%1.%2.%3.%4.%5.%6."/>
      <w:lvlJc w:val="left"/>
      <w:pPr>
        <w:tabs>
          <w:tab w:val="num" w:pos="4356"/>
        </w:tabs>
        <w:ind w:left="3852" w:hanging="936"/>
      </w:pPr>
    </w:lvl>
    <w:lvl w:ilvl="6">
      <w:start w:val="1"/>
      <w:numFmt w:val="decimal"/>
      <w:lvlText w:val="%1.%2.%3.%4.%5.%6.%7."/>
      <w:lvlJc w:val="left"/>
      <w:pPr>
        <w:tabs>
          <w:tab w:val="num" w:pos="4716"/>
        </w:tabs>
        <w:ind w:left="4356" w:hanging="1080"/>
      </w:pPr>
    </w:lvl>
    <w:lvl w:ilvl="7">
      <w:start w:val="1"/>
      <w:numFmt w:val="decimal"/>
      <w:lvlText w:val="%1.%2.%3.%4.%5.%6.%7.%8."/>
      <w:lvlJc w:val="left"/>
      <w:pPr>
        <w:tabs>
          <w:tab w:val="num" w:pos="5436"/>
        </w:tabs>
        <w:ind w:left="4860" w:hanging="1224"/>
      </w:pPr>
    </w:lvl>
    <w:lvl w:ilvl="8">
      <w:start w:val="1"/>
      <w:numFmt w:val="decimal"/>
      <w:lvlText w:val="%1.%2.%3.%4.%5.%6.%7.%8.%9."/>
      <w:lvlJc w:val="left"/>
      <w:pPr>
        <w:tabs>
          <w:tab w:val="num" w:pos="5796"/>
        </w:tabs>
        <w:ind w:left="5436" w:hanging="1440"/>
      </w:pPr>
    </w:lvl>
  </w:abstractNum>
  <w:abstractNum w:abstractNumId="11">
    <w:nsid w:val="7D295932"/>
    <w:multiLevelType w:val="hybridMultilevel"/>
    <w:tmpl w:val="1624E1C0"/>
    <w:lvl w:ilvl="0" w:tplc="08090005">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5"/>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6"/>
  </w:num>
  <w:num w:numId="8">
    <w:abstractNumId w:val="2"/>
  </w:num>
  <w:num w:numId="9">
    <w:abstractNumId w:val="7"/>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C6CD4"/>
    <w:rsid w:val="0046681C"/>
    <w:rsid w:val="00787648"/>
    <w:rsid w:val="007C6CD4"/>
    <w:rsid w:val="008F43F4"/>
    <w:rsid w:val="00A06464"/>
    <w:rsid w:val="00AF6CA6"/>
    <w:rsid w:val="00B211D1"/>
    <w:rsid w:val="00BA712D"/>
    <w:rsid w:val="00E36B0D"/>
    <w:rsid w:val="00F50B9A"/>
    <w:rsid w:val="00FF2D2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CD4"/>
    <w:pPr>
      <w:spacing w:after="0" w:line="240" w:lineRule="auto"/>
      <w:ind w:left="567"/>
      <w:jc w:val="both"/>
    </w:pPr>
    <w:rPr>
      <w:rFonts w:ascii="Arial" w:eastAsia="Times New Roman" w:hAnsi="Arial" w:cs="Times New Roman"/>
      <w:lang w:val="en-US"/>
    </w:rPr>
  </w:style>
  <w:style w:type="paragraph" w:styleId="Heading1">
    <w:name w:val="heading 1"/>
    <w:basedOn w:val="Normal"/>
    <w:next w:val="Normal"/>
    <w:link w:val="Heading1Char"/>
    <w:qFormat/>
    <w:rsid w:val="007C6CD4"/>
    <w:pPr>
      <w:keepNext/>
      <w:numPr>
        <w:numId w:val="3"/>
      </w:numPr>
      <w:spacing w:before="60" w:after="60"/>
      <w:outlineLvl w:val="0"/>
    </w:pPr>
    <w:rPr>
      <w:rFonts w:cs="Arial"/>
      <w:b/>
      <w:sz w:val="24"/>
    </w:rPr>
  </w:style>
  <w:style w:type="paragraph" w:styleId="Heading2">
    <w:name w:val="heading 2"/>
    <w:basedOn w:val="Normal"/>
    <w:next w:val="Normal"/>
    <w:link w:val="Heading2Char"/>
    <w:semiHidden/>
    <w:unhideWhenUsed/>
    <w:qFormat/>
    <w:rsid w:val="007C6CD4"/>
    <w:pPr>
      <w:keepNext/>
      <w:numPr>
        <w:ilvl w:val="1"/>
        <w:numId w:val="3"/>
      </w:numPr>
      <w:outlineLvl w:val="1"/>
    </w:pPr>
    <w:rPr>
      <w:rFonts w:ascii="Arial Bold" w:hAnsi="Arial Bold" w:cs="Arial"/>
      <w:b/>
      <w:bCs/>
      <w:iCs/>
    </w:rPr>
  </w:style>
  <w:style w:type="paragraph" w:styleId="Heading3">
    <w:name w:val="heading 3"/>
    <w:basedOn w:val="Normal"/>
    <w:next w:val="Normal"/>
    <w:link w:val="Heading3Char"/>
    <w:semiHidden/>
    <w:unhideWhenUsed/>
    <w:qFormat/>
    <w:rsid w:val="007C6CD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7C6CD4"/>
    <w:pPr>
      <w:tabs>
        <w:tab w:val="center" w:pos="4513"/>
        <w:tab w:val="right" w:pos="9026"/>
      </w:tabs>
    </w:pPr>
  </w:style>
  <w:style w:type="character" w:customStyle="1" w:styleId="HeaderChar">
    <w:name w:val="Header Char"/>
    <w:basedOn w:val="DefaultParagraphFont"/>
    <w:link w:val="Header"/>
    <w:semiHidden/>
    <w:rsid w:val="007C6CD4"/>
  </w:style>
  <w:style w:type="paragraph" w:styleId="Footer">
    <w:name w:val="footer"/>
    <w:basedOn w:val="Normal"/>
    <w:link w:val="FooterChar"/>
    <w:uiPriority w:val="99"/>
    <w:semiHidden/>
    <w:unhideWhenUsed/>
    <w:rsid w:val="007C6CD4"/>
    <w:pPr>
      <w:tabs>
        <w:tab w:val="center" w:pos="4513"/>
        <w:tab w:val="right" w:pos="9026"/>
      </w:tabs>
    </w:pPr>
  </w:style>
  <w:style w:type="character" w:customStyle="1" w:styleId="FooterChar">
    <w:name w:val="Footer Char"/>
    <w:basedOn w:val="DefaultParagraphFont"/>
    <w:link w:val="Footer"/>
    <w:uiPriority w:val="99"/>
    <w:semiHidden/>
    <w:rsid w:val="007C6CD4"/>
  </w:style>
  <w:style w:type="paragraph" w:customStyle="1" w:styleId="Heading">
    <w:name w:val="Heading"/>
    <w:basedOn w:val="Normal"/>
    <w:rsid w:val="007C6CD4"/>
    <w:rPr>
      <w:b/>
      <w:sz w:val="24"/>
    </w:rPr>
  </w:style>
  <w:style w:type="paragraph" w:styleId="NoSpacing">
    <w:name w:val="No Spacing"/>
    <w:uiPriority w:val="1"/>
    <w:qFormat/>
    <w:rsid w:val="007C6CD4"/>
    <w:pPr>
      <w:spacing w:after="0" w:line="240" w:lineRule="auto"/>
      <w:ind w:left="567"/>
      <w:jc w:val="both"/>
    </w:pPr>
    <w:rPr>
      <w:rFonts w:ascii="Arial" w:eastAsia="Times New Roman" w:hAnsi="Arial" w:cs="Times New Roman"/>
      <w:lang w:val="en-US"/>
    </w:rPr>
  </w:style>
  <w:style w:type="character" w:customStyle="1" w:styleId="Heading1Char">
    <w:name w:val="Heading 1 Char"/>
    <w:basedOn w:val="DefaultParagraphFont"/>
    <w:link w:val="Heading1"/>
    <w:rsid w:val="007C6CD4"/>
    <w:rPr>
      <w:rFonts w:ascii="Arial" w:eastAsia="Times New Roman" w:hAnsi="Arial" w:cs="Arial"/>
      <w:b/>
      <w:sz w:val="24"/>
      <w:lang w:val="en-US"/>
    </w:rPr>
  </w:style>
  <w:style w:type="character" w:customStyle="1" w:styleId="Heading2Char">
    <w:name w:val="Heading 2 Char"/>
    <w:basedOn w:val="DefaultParagraphFont"/>
    <w:link w:val="Heading2"/>
    <w:semiHidden/>
    <w:rsid w:val="007C6CD4"/>
    <w:rPr>
      <w:rFonts w:ascii="Arial Bold" w:eastAsia="Times New Roman" w:hAnsi="Arial Bold" w:cs="Arial"/>
      <w:b/>
      <w:bCs/>
      <w:iCs/>
      <w:lang w:val="en-US"/>
    </w:rPr>
  </w:style>
  <w:style w:type="character" w:customStyle="1" w:styleId="Heading3Char">
    <w:name w:val="Heading 3 Char"/>
    <w:basedOn w:val="DefaultParagraphFont"/>
    <w:link w:val="Heading3"/>
    <w:semiHidden/>
    <w:rsid w:val="007C6CD4"/>
    <w:rPr>
      <w:rFonts w:ascii="Cambria" w:eastAsia="Times New Roman" w:hAnsi="Cambria" w:cs="Times New Roman"/>
      <w:b/>
      <w:bCs/>
      <w:sz w:val="26"/>
      <w:szCs w:val="26"/>
      <w:lang w:val="en-US"/>
    </w:rPr>
  </w:style>
  <w:style w:type="paragraph" w:styleId="FootnoteText">
    <w:name w:val="footnote text"/>
    <w:basedOn w:val="Normal"/>
    <w:link w:val="FootnoteTextChar"/>
    <w:semiHidden/>
    <w:unhideWhenUsed/>
    <w:rsid w:val="007C6CD4"/>
    <w:rPr>
      <w:sz w:val="20"/>
      <w:szCs w:val="20"/>
    </w:rPr>
  </w:style>
  <w:style w:type="character" w:customStyle="1" w:styleId="FootnoteTextChar">
    <w:name w:val="Footnote Text Char"/>
    <w:basedOn w:val="DefaultParagraphFont"/>
    <w:link w:val="FootnoteText"/>
    <w:semiHidden/>
    <w:rsid w:val="007C6CD4"/>
    <w:rPr>
      <w:rFonts w:ascii="Arial" w:eastAsia="Times New Roman" w:hAnsi="Arial" w:cs="Times New Roman"/>
      <w:sz w:val="20"/>
      <w:szCs w:val="20"/>
      <w:lang w:val="en-US"/>
    </w:rPr>
  </w:style>
  <w:style w:type="paragraph" w:styleId="BodyTextIndent">
    <w:name w:val="Body Text Indent"/>
    <w:basedOn w:val="Normal"/>
    <w:link w:val="BodyTextIndentChar"/>
    <w:semiHidden/>
    <w:unhideWhenUsed/>
    <w:rsid w:val="007C6CD4"/>
    <w:pPr>
      <w:spacing w:after="120"/>
      <w:ind w:left="283"/>
    </w:pPr>
  </w:style>
  <w:style w:type="character" w:customStyle="1" w:styleId="BodyTextIndentChar">
    <w:name w:val="Body Text Indent Char"/>
    <w:basedOn w:val="DefaultParagraphFont"/>
    <w:link w:val="BodyTextIndent"/>
    <w:semiHidden/>
    <w:rsid w:val="007C6CD4"/>
    <w:rPr>
      <w:rFonts w:ascii="Arial" w:eastAsia="Times New Roman" w:hAnsi="Arial" w:cs="Times New Roman"/>
      <w:lang w:val="en-US"/>
    </w:rPr>
  </w:style>
  <w:style w:type="paragraph" w:styleId="BodyTextIndent3">
    <w:name w:val="Body Text Indent 3"/>
    <w:basedOn w:val="Normal"/>
    <w:link w:val="BodyTextIndent3Char"/>
    <w:semiHidden/>
    <w:unhideWhenUsed/>
    <w:rsid w:val="007C6CD4"/>
    <w:pPr>
      <w:spacing w:after="120"/>
      <w:ind w:left="283"/>
    </w:pPr>
    <w:rPr>
      <w:sz w:val="16"/>
      <w:szCs w:val="16"/>
    </w:rPr>
  </w:style>
  <w:style w:type="character" w:customStyle="1" w:styleId="BodyTextIndent3Char">
    <w:name w:val="Body Text Indent 3 Char"/>
    <w:basedOn w:val="DefaultParagraphFont"/>
    <w:link w:val="BodyTextIndent3"/>
    <w:semiHidden/>
    <w:rsid w:val="007C6CD4"/>
    <w:rPr>
      <w:rFonts w:ascii="Arial" w:eastAsia="Times New Roman" w:hAnsi="Arial" w:cs="Times New Roman"/>
      <w:sz w:val="16"/>
      <w:szCs w:val="16"/>
      <w:lang w:val="en-US"/>
    </w:rPr>
  </w:style>
  <w:style w:type="character" w:styleId="FootnoteReference">
    <w:name w:val="footnote reference"/>
    <w:semiHidden/>
    <w:unhideWhenUsed/>
    <w:rsid w:val="007C6CD4"/>
    <w:rPr>
      <w:vertAlign w:val="superscript"/>
    </w:rPr>
  </w:style>
  <w:style w:type="paragraph" w:customStyle="1" w:styleId="DefinitionTerm">
    <w:name w:val="Definition Term"/>
    <w:basedOn w:val="Normal"/>
    <w:next w:val="Normal"/>
    <w:rsid w:val="007C6CD4"/>
    <w:pPr>
      <w:widowControl w:val="0"/>
      <w:snapToGrid w:val="0"/>
      <w:ind w:left="0"/>
      <w:jc w:val="left"/>
    </w:pPr>
    <w:rPr>
      <w:rFonts w:ascii="Times New Roman" w:hAnsi="Times New Roman"/>
      <w:sz w:val="24"/>
      <w:szCs w:val="20"/>
    </w:rPr>
  </w:style>
  <w:style w:type="character" w:customStyle="1" w:styleId="apple-converted-space">
    <w:name w:val="apple-converted-space"/>
    <w:rsid w:val="007C6CD4"/>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5E205-479D-4FB0-892B-95605F2EC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2017-06-30T14:43:00Z</cp:lastPrinted>
  <dcterms:created xsi:type="dcterms:W3CDTF">2017-06-30T14:09:00Z</dcterms:created>
  <dcterms:modified xsi:type="dcterms:W3CDTF">2017-12-04T13:30:00Z</dcterms:modified>
</cp:coreProperties>
</file>